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501100</w:t>
      </w:r>
      <w:bookmarkStart w:id="10" w:name="_GoBack"/>
      <w:bookmarkEnd w:id="10"/>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impacts </w:t>
      </w:r>
      <w:r>
        <w:rPr>
          <w:rFonts w:hint="eastAsia" w:ascii="Times New Roman" w:hAnsi="Times New Roman"/>
          <w:sz w:val="22"/>
          <w:lang w:val="en-US" w:eastAsia="zh-CN"/>
        </w:rPr>
        <w:t>on RAN4 requirements for AI/ML for mobilit</w:t>
      </w:r>
      <w:r>
        <w:rPr>
          <w:rFonts w:hint="eastAsia" w:ascii="Times New Roman" w:hAnsi="Times New Roman"/>
          <w:sz w:val="22"/>
          <w:highlight w:val="none"/>
          <w:lang w:val="en-US" w:eastAsia="zh-CN"/>
        </w:rPr>
        <w: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8A7EA0D">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5CB11B01">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46918C9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0DDA5A8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2F32914E">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60C3DB0A">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2"/>
          <w:lang w:val="en-US" w:eastAsia="zh-CN"/>
        </w:rPr>
        <w:t>AI/ML for mobilit</w:t>
      </w:r>
      <w:r>
        <w:rPr>
          <w:rFonts w:hint="eastAsia" w:ascii="Times New Roman" w:hAnsi="Times New Roman"/>
          <w:sz w:val="22"/>
          <w:highlight w:val="none"/>
          <w:lang w:val="en-US" w:eastAsia="zh-CN"/>
        </w:rPr>
        <w:t>y</w:t>
      </w:r>
      <w:r>
        <w:rPr>
          <w:rFonts w:hint="eastAsia" w:ascii="Times New Roman" w:hAnsi="Times New Roman"/>
          <w:sz w:val="20"/>
          <w:szCs w:val="20"/>
          <w:lang w:val="en-US" w:eastAsia="zh-CN"/>
        </w:rPr>
        <w:t xml:space="preserve">, and a WF was agreed [2].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the impacts on RAN4 requirements for AI/ML for mobility</w:t>
      </w:r>
      <w:r>
        <w:rPr>
          <w:rFonts w:hint="eastAsia" w:ascii="Times New Roman" w:hAnsi="Times New Roman"/>
          <w:sz w:val="20"/>
          <w:szCs w:val="20"/>
        </w:rPr>
        <w:t>.</w:t>
      </w:r>
    </w:p>
    <w:p w14:paraId="17263EFA">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1"/>
      <w:bookmarkStart w:id="8"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3198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E3BE86F">
            <w:pPr>
              <w:snapToGrid w:val="0"/>
              <w:spacing w:after="120"/>
              <w:jc w:val="both"/>
              <w:rPr>
                <w:rFonts w:hint="default" w:ascii="Times New Roman" w:hAnsi="Times New Roman" w:cs="Times New Roman"/>
                <w:b/>
                <w:bCs/>
                <w:sz w:val="20"/>
                <w:szCs w:val="20"/>
                <w:lang w:eastAsia="zh-CN"/>
              </w:rPr>
            </w:pPr>
            <w:r>
              <w:rPr>
                <w:rFonts w:hint="default" w:ascii="Times New Roman" w:hAnsi="Times New Roman" w:cs="Times New Roman"/>
                <w:b/>
                <w:sz w:val="20"/>
                <w:szCs w:val="20"/>
                <w:u w:val="single"/>
              </w:rPr>
              <w:t>Issue 2-1-1: Absolut and/or Relative RSRP Prediction Accuracy</w:t>
            </w:r>
          </w:p>
          <w:p w14:paraId="0DF81CCA">
            <w:pPr>
              <w:spacing w:after="12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Way Forward:</w:t>
            </w:r>
          </w:p>
          <w:p w14:paraId="53E21981">
            <w:pPr>
              <w:snapToGrid w:val="0"/>
              <w:spacing w:after="120"/>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highlight w:val="none"/>
                <w:lang w:eastAsia="zh-CN"/>
                <w14:textFill>
                  <w14:solidFill>
                    <w14:schemeClr w14:val="tx1"/>
                  </w14:solidFill>
                </w14:textFill>
              </w:rPr>
              <w:t>Session Chair:</w:t>
            </w:r>
            <w:r>
              <w:rPr>
                <w:rFonts w:hint="default" w:ascii="Times New Roman" w:hAnsi="Times New Roman" w:cs="Times New Roman"/>
                <w:color w:val="000000" w:themeColor="text1"/>
                <w:sz w:val="20"/>
                <w:szCs w:val="20"/>
                <w:lang w:eastAsia="zh-CN"/>
                <w14:textFill>
                  <w14:solidFill>
                    <w14:schemeClr w14:val="tx1"/>
                  </w14:solidFill>
                </w14:textFill>
              </w:rPr>
              <w:t xml:space="preserve"> </w:t>
            </w:r>
          </w:p>
          <w:p w14:paraId="0A35FAC5">
            <w:pPr>
              <w:snapToGrid w:val="0"/>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Encourage companies to bring proposals on the definition of </w:t>
            </w:r>
            <w:r>
              <w:rPr>
                <w:rFonts w:hint="default" w:ascii="Times New Roman" w:hAnsi="Times New Roman" w:cs="Times New Roman"/>
                <w:color w:val="000000" w:themeColor="text1"/>
                <w:sz w:val="20"/>
                <w:szCs w:val="20"/>
                <w14:textFill>
                  <w14:solidFill>
                    <w14:schemeClr w14:val="tx1"/>
                  </w14:solidFill>
                </w14:textFill>
              </w:rPr>
              <w:t xml:space="preserve">relative RSRP and absolute RSRP. </w:t>
            </w:r>
          </w:p>
          <w:p w14:paraId="22F30A6D">
            <w:pPr>
              <w:snapToGrid w:val="0"/>
              <w:spacing w:after="120"/>
              <w:rPr>
                <w:rFonts w:hint="default" w:ascii="Times New Roman" w:hAnsi="Times New Roman" w:cs="Times New Roman"/>
                <w:color w:val="000000" w:themeColor="text1"/>
                <w:sz w:val="20"/>
                <w:szCs w:val="20"/>
                <w14:textFill>
                  <w14:solidFill>
                    <w14:schemeClr w14:val="tx1"/>
                  </w14:solidFill>
                </w14:textFill>
              </w:rPr>
            </w:pPr>
          </w:p>
          <w:p w14:paraId="02DD3B07">
            <w:pPr>
              <w:spacing w:after="120"/>
              <w:rPr>
                <w:rFonts w:hint="default" w:ascii="Times New Roman" w:hAnsi="Times New Roman" w:cs="Times New Roman"/>
                <w:sz w:val="20"/>
                <w:szCs w:val="20"/>
              </w:rPr>
            </w:pPr>
            <w:r>
              <w:rPr>
                <w:rFonts w:hint="default" w:ascii="Times New Roman" w:hAnsi="Times New Roman" w:cs="Times New Roman"/>
                <w:sz w:val="20"/>
                <w:szCs w:val="20"/>
              </w:rPr>
              <w:t>Subsequently, companies may also consider following candidate options to introduce RSRP accuracy requirements:</w:t>
            </w:r>
          </w:p>
          <w:p w14:paraId="56BAA17C">
            <w:pPr>
              <w:pStyle w:val="12"/>
              <w:numPr>
                <w:ilvl w:val="0"/>
                <w:numId w:val="4"/>
              </w:numPr>
              <w:overflowPunct/>
              <w:autoSpaceDE/>
              <w:autoSpaceDN/>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color w:val="000000" w:themeColor="text1"/>
                <w:sz w:val="20"/>
                <w:szCs w:val="20"/>
                <w14:textFill>
                  <w14:solidFill>
                    <w14:schemeClr w14:val="tx1"/>
                  </w14:solidFill>
                </w14:textFill>
              </w:rPr>
              <w:t>Option 1: RAN4 to consider relative RSRP accuracy requirements only.</w:t>
            </w:r>
          </w:p>
          <w:p w14:paraId="50D20775">
            <w:pPr>
              <w:pStyle w:val="12"/>
              <w:numPr>
                <w:ilvl w:val="0"/>
                <w:numId w:val="4"/>
              </w:numPr>
              <w:overflowPunct/>
              <w:autoSpaceDE/>
              <w:autoSpaceDN/>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color w:val="000000" w:themeColor="text1"/>
                <w:sz w:val="20"/>
                <w:szCs w:val="20"/>
                <w14:textFill>
                  <w14:solidFill>
                    <w14:schemeClr w14:val="tx1"/>
                  </w14:solidFill>
                </w14:textFill>
              </w:rPr>
              <w:t>Option 2: RAN4 to consider absolute RSRP accuracy requirements only.</w:t>
            </w:r>
          </w:p>
          <w:p w14:paraId="2BB42D60">
            <w:pPr>
              <w:pStyle w:val="12"/>
              <w:numPr>
                <w:ilvl w:val="0"/>
                <w:numId w:val="4"/>
              </w:numPr>
              <w:overflowPunct/>
              <w:autoSpaceDE/>
              <w:autoSpaceDN/>
              <w:adjustRightInd/>
              <w:snapToGrid w:val="0"/>
              <w:spacing w:after="120"/>
              <w:ind w:firstLineChars="0"/>
              <w:textAlignment w:val="auto"/>
              <w:rPr>
                <w:rFonts w:hint="default" w:ascii="Times New Roman" w:hAnsi="Times New Roman" w:cs="Times New Roman"/>
                <w:b/>
                <w:bCs w:val="0"/>
                <w:i/>
                <w:iCs w:val="0"/>
                <w:sz w:val="20"/>
                <w:szCs w:val="20"/>
                <w:vertAlign w:val="baseline"/>
                <w:lang w:val="en-US" w:eastAsia="zh-CN"/>
              </w:rPr>
            </w:pPr>
            <w:r>
              <w:rPr>
                <w:rFonts w:hint="default" w:ascii="Times New Roman" w:hAnsi="Times New Roman" w:cs="Times New Roman"/>
                <w:color w:val="000000" w:themeColor="text1"/>
                <w:sz w:val="20"/>
                <w:szCs w:val="20"/>
                <w14:textFill>
                  <w14:solidFill>
                    <w14:schemeClr w14:val="tx1"/>
                  </w14:solidFill>
                </w14:textFill>
              </w:rPr>
              <w:t>Option 3: RAN4 to consider both absolute and relative RSRP accuracy requirements.</w:t>
            </w:r>
          </w:p>
          <w:p w14:paraId="5E8DDBBC">
            <w:pPr>
              <w:pStyle w:val="12"/>
              <w:numPr>
                <w:ilvl w:val="0"/>
                <w:numId w:val="0"/>
              </w:numPr>
              <w:overflowPunct/>
              <w:autoSpaceDE/>
              <w:autoSpaceDN/>
              <w:adjustRightInd/>
              <w:snapToGrid w:val="0"/>
              <w:spacing w:after="120"/>
              <w:textAlignment w:val="auto"/>
              <w:rPr>
                <w:rFonts w:hint="default" w:ascii="Times New Roman" w:hAnsi="Times New Roman" w:cs="Times New Roman"/>
                <w:color w:val="000000" w:themeColor="text1"/>
                <w:sz w:val="20"/>
                <w:szCs w:val="20"/>
                <w14:textFill>
                  <w14:solidFill>
                    <w14:schemeClr w14:val="tx1"/>
                  </w14:solidFill>
                </w14:textFill>
              </w:rPr>
            </w:pPr>
          </w:p>
          <w:p w14:paraId="14E95848">
            <w:pPr>
              <w:rPr>
                <w:rFonts w:hint="default" w:ascii="Times New Roman" w:hAnsi="Times New Roman" w:eastAsia="MS Mincho" w:cs="Times New Roman"/>
                <w:b/>
                <w:bCs/>
                <w:sz w:val="20"/>
                <w:szCs w:val="20"/>
                <w:u w:val="single"/>
                <w:lang w:val="zh-CN" w:eastAsia="zh-CN"/>
              </w:rPr>
            </w:pPr>
            <w:r>
              <w:rPr>
                <w:rFonts w:hint="default" w:ascii="Times New Roman" w:hAnsi="Times New Roman" w:eastAsia="MS Mincho" w:cs="Times New Roman"/>
                <w:b/>
                <w:bCs/>
                <w:sz w:val="20"/>
                <w:szCs w:val="20"/>
                <w:u w:val="single"/>
                <w:lang w:val="zh-CN" w:eastAsia="zh-CN"/>
              </w:rPr>
              <w:t>Issue 2-1-9</w:t>
            </w:r>
            <w:r>
              <w:rPr>
                <w:rFonts w:hint="default" w:ascii="Times New Roman" w:hAnsi="Times New Roman" w:eastAsia="MS Mincho" w:cs="Times New Roman"/>
                <w:b/>
                <w:bCs/>
                <w:sz w:val="20"/>
                <w:szCs w:val="20"/>
                <w:u w:val="single"/>
                <w:lang w:eastAsia="zh-CN"/>
              </w:rPr>
              <w:t>a</w:t>
            </w:r>
            <w:r>
              <w:rPr>
                <w:rFonts w:hint="default" w:ascii="Times New Roman" w:hAnsi="Times New Roman" w:eastAsia="MS Mincho" w:cs="Times New Roman"/>
                <w:b/>
                <w:bCs/>
                <w:sz w:val="20"/>
                <w:szCs w:val="20"/>
                <w:u w:val="single"/>
                <w:lang w:val="zh-CN" w:eastAsia="zh-CN"/>
              </w:rPr>
              <w:t xml:space="preserve">: </w:t>
            </w:r>
            <w:r>
              <w:rPr>
                <w:rFonts w:hint="default" w:ascii="Times New Roman" w:hAnsi="Times New Roman" w:eastAsia="MS Mincho" w:cs="Times New Roman"/>
                <w:b/>
                <w:bCs/>
                <w:sz w:val="20"/>
                <w:szCs w:val="20"/>
                <w:u w:val="single"/>
                <w:lang w:eastAsia="zh-CN"/>
              </w:rPr>
              <w:t>L3</w:t>
            </w:r>
            <w:r>
              <w:rPr>
                <w:rFonts w:hint="default" w:ascii="Times New Roman" w:hAnsi="Times New Roman" w:eastAsia="MS Mincho" w:cs="Times New Roman"/>
                <w:b/>
                <w:bCs/>
                <w:sz w:val="20"/>
                <w:szCs w:val="20"/>
                <w:u w:val="single"/>
                <w:lang w:val="zh-CN" w:eastAsia="zh-CN"/>
              </w:rPr>
              <w:t xml:space="preserve"> RSRP prediction accuracy definition</w:t>
            </w:r>
          </w:p>
          <w:p w14:paraId="7ED5CC10">
            <w:pPr>
              <w:spacing w:after="120"/>
              <w:rPr>
                <w:rFonts w:hint="default" w:ascii="Times New Roman" w:hAnsi="Times New Roman" w:cs="Times New Roman"/>
                <w:color w:val="000000" w:themeColor="text1"/>
                <w:sz w:val="20"/>
                <w:szCs w:val="20"/>
                <w:highlight w:val="green"/>
                <w:lang w:eastAsia="zh-CN"/>
                <w14:textFill>
                  <w14:solidFill>
                    <w14:schemeClr w14:val="tx1"/>
                  </w14:solidFill>
                </w14:textFill>
              </w:rPr>
            </w:pPr>
            <w:r>
              <w:rPr>
                <w:rFonts w:hint="default" w:ascii="Times New Roman" w:hAnsi="Times New Roman" w:cs="Times New Roman"/>
                <w:color w:val="000000" w:themeColor="text1"/>
                <w:sz w:val="20"/>
                <w:szCs w:val="20"/>
                <w:highlight w:val="green"/>
                <w:lang w:eastAsia="zh-CN"/>
                <w14:textFill>
                  <w14:solidFill>
                    <w14:schemeClr w14:val="tx1"/>
                  </w14:solidFill>
                </w14:textFill>
              </w:rPr>
              <w:t>Agreement:</w:t>
            </w:r>
          </w:p>
          <w:p w14:paraId="6B02775F">
            <w:pPr>
              <w:pStyle w:val="12"/>
              <w:numPr>
                <w:ilvl w:val="0"/>
                <w:numId w:val="4"/>
              </w:numPr>
              <w:spacing w:before="120" w:after="120"/>
              <w:ind w:firstLineChars="0"/>
              <w:rPr>
                <w:rFonts w:hint="default" w:ascii="Times New Roman" w:hAnsi="Times New Roman" w:eastAsia="Yu Mincho" w:cs="Times New Roman"/>
                <w:sz w:val="20"/>
                <w:szCs w:val="20"/>
                <w:highlight w:val="green"/>
              </w:rPr>
            </w:pPr>
            <w:r>
              <w:rPr>
                <w:rFonts w:hint="default" w:ascii="Times New Roman" w:hAnsi="Times New Roman" w:eastAsia="Yu Mincho" w:cs="Times New Roman"/>
                <w:sz w:val="20"/>
                <w:szCs w:val="20"/>
                <w:highlight w:val="green"/>
              </w:rPr>
              <w:t>For testing, Absolute L3 Predicted RSRP Accuracy = reported predicted L3-RSRP – ground truth of L3-RSRP</w:t>
            </w:r>
          </w:p>
          <w:p w14:paraId="58AA7790">
            <w:pPr>
              <w:pStyle w:val="12"/>
              <w:numPr>
                <w:ilvl w:val="1"/>
                <w:numId w:val="4"/>
              </w:numPr>
              <w:spacing w:before="120" w:after="120"/>
              <w:ind w:firstLineChars="0"/>
              <w:rPr>
                <w:rFonts w:hint="default" w:ascii="Times New Roman" w:hAnsi="Times New Roman" w:eastAsia="Yu Mincho" w:cs="Times New Roman"/>
                <w:sz w:val="20"/>
                <w:szCs w:val="20"/>
                <w:highlight w:val="green"/>
              </w:rPr>
            </w:pPr>
            <w:r>
              <w:rPr>
                <w:rFonts w:hint="default" w:ascii="Times New Roman" w:hAnsi="Times New Roman" w:eastAsia="Yu Mincho" w:cs="Times New Roman"/>
                <w:sz w:val="20"/>
                <w:szCs w:val="20"/>
                <w:highlight w:val="green"/>
              </w:rPr>
              <w:t>FFS Ground truth definition of L3-RSRP for FR1 and FR2</w:t>
            </w:r>
          </w:p>
          <w:p w14:paraId="37E104C6">
            <w:pPr>
              <w:pStyle w:val="12"/>
              <w:numPr>
                <w:ilvl w:val="0"/>
                <w:numId w:val="0"/>
              </w:numPr>
              <w:overflowPunct/>
              <w:autoSpaceDE/>
              <w:autoSpaceDN/>
              <w:adjustRightInd/>
              <w:snapToGrid w:val="0"/>
              <w:spacing w:after="120"/>
              <w:textAlignment w:val="auto"/>
              <w:rPr>
                <w:rFonts w:hint="default" w:ascii="Times New Roman" w:hAnsi="Times New Roman" w:cs="Times New Roman"/>
                <w:color w:val="000000" w:themeColor="text1"/>
                <w:sz w:val="20"/>
                <w:szCs w:val="20"/>
                <w:lang w:val="en-US" w:eastAsia="zh-CN"/>
                <w14:textFill>
                  <w14:solidFill>
                    <w14:schemeClr w14:val="tx1"/>
                  </w14:solidFill>
                </w14:textFill>
              </w:rPr>
            </w:pPr>
          </w:p>
        </w:tc>
      </w:tr>
    </w:tbl>
    <w:p w14:paraId="2CD3FB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p>
    <w:p w14:paraId="7913BA1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In legacy, both absolut RSRP accuracy requirements and relative RSRP accuracy requirements are specified. It is proposed to follow the similar way to define both </w:t>
      </w:r>
      <w:r>
        <w:rPr>
          <w:rFonts w:hint="default" w:ascii="Times New Roman" w:hAnsi="Times New Roman" w:cs="Times New Roman"/>
          <w:color w:val="000000" w:themeColor="text1"/>
          <w:sz w:val="20"/>
          <w:szCs w:val="20"/>
          <w14:textFill>
            <w14:solidFill>
              <w14:schemeClr w14:val="tx1"/>
            </w14:solidFill>
          </w14:textFill>
        </w:rPr>
        <w:t>absolute and relative RSRP accuracy requirements</w:t>
      </w: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 for AI/ML for mobility.</w:t>
      </w:r>
    </w:p>
    <w:p w14:paraId="5BF6274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RAN2 agreements, measurement prediction accuracy for cell-level RRM measurement prediction is defined as average L3 RSRP difference between predicted L3 filtered cell-level measurement result and actual L3 filtered cell-level measurement result of the same cell. The actual L3 level measurement results need to be further clarified. For example, for FR2, nobody knows the actually measured results at UE since RX beamforming gain is up to implementation. And another consideration is that for legacy FR1, the accuracy is based on ideal RSRP, while according to RAN2 agreements the accuracy is based on measured RSRP. It is necessary to discuss which way to follow to define RAN4 accuracy requirements. From our point of view, it is prefered to follow RAN4 legacy way to define accuracy requirements, which means that at least for FR1, ideal RSRP not measured RSRP is used as baseline. </w:t>
      </w:r>
    </w:p>
    <w:p w14:paraId="56193D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AI/ML based beam management, one of the candidate test metrics is RSRP prediction accuracy. Even though the final definition is not concluded, but it is most likely to follow the legacy way which is the difference between predicted L1-RSRP of beam index i and ideal measured L1-RSRP of beam index i. As for the ideal measured L1-RSRP for FR2, it was agreed that the ground truth for the predicted RSRP is the ideal measurement of RSRP on the predicted Tx beam. In order to solve the uncertainty due to RX beamforming gain, it is agreed in RAN4 that the ground truth is the approximate as the reported RSRP measurement under the certain SNR on the predicted Tx beam. Taking above into account, the cell level RSRP prediction accuracy can be defined as the difference between predicted RSRP and ideal measured RSRP. For FR1, the ideal measured RSRP is the transmitted RSRP, which is obtained as the legacy way of conducted test. For FR2, the ideal RSRP is approximate as the reported RSRP measurement under the certain SNR (SNR is high enough for sufficient accuracy of reported RSRP).</w:t>
      </w:r>
    </w:p>
    <w:p w14:paraId="23FE1994">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1: </w:t>
      </w:r>
      <w:r>
        <w:rPr>
          <w:rFonts w:hint="default" w:ascii="Times New Roman" w:hAnsi="Times New Roman" w:eastAsia="Yu Mincho" w:cs="Times New Roman"/>
          <w:b/>
          <w:bCs w:val="0"/>
          <w:i/>
          <w:iCs w:val="0"/>
          <w:sz w:val="20"/>
          <w:szCs w:val="20"/>
          <w:highlight w:val="none"/>
        </w:rPr>
        <w:t>Absolute L3 Predicted RSRP Accuracy = reported predicted L3-RSRP – ground truth of L3-RSRP</w:t>
      </w:r>
      <w:r>
        <w:rPr>
          <w:rFonts w:hint="eastAsia" w:ascii="Times New Roman" w:hAnsi="Times New Roman" w:eastAsia="等线"/>
          <w:b/>
          <w:bCs w:val="0"/>
          <w:i/>
          <w:iCs w:val="0"/>
          <w:sz w:val="20"/>
          <w:szCs w:val="20"/>
          <w:highlight w:val="none"/>
          <w:lang w:val="en-US" w:eastAsia="zh-CN"/>
        </w:rPr>
        <w:t xml:space="preserve"> </w:t>
      </w:r>
    </w:p>
    <w:p w14:paraId="783277AB">
      <w:pPr>
        <w:numPr>
          <w:ilvl w:val="0"/>
          <w:numId w:val="5"/>
        </w:numPr>
        <w:tabs>
          <w:tab w:val="left" w:pos="420"/>
          <w:tab w:val="clear" w:pos="0"/>
        </w:tabs>
        <w:spacing w:after="180" w:line="240" w:lineRule="exact"/>
        <w:ind w:left="840" w:leftChars="0" w:hanging="420" w:firstLineChars="0"/>
        <w:rPr>
          <w:rFonts w:hint="eastAsia" w:ascii="Times New Roman" w:hAnsi="Times New Roman" w:eastAsia="宋体" w:cs="Times New Roman"/>
          <w:b/>
          <w:bCs w:val="0"/>
          <w:i/>
          <w:iCs w:val="0"/>
          <w:sz w:val="20"/>
          <w:szCs w:val="20"/>
          <w:highlight w:val="none"/>
          <w:lang w:val="en-US" w:eastAsia="zh-CN"/>
        </w:rPr>
      </w:pPr>
      <w:r>
        <w:rPr>
          <w:rFonts w:hint="eastAsia" w:ascii="Times New Roman" w:hAnsi="Times New Roman" w:eastAsia="宋体" w:cs="Times New Roman"/>
          <w:b/>
          <w:bCs w:val="0"/>
          <w:i/>
          <w:iCs w:val="0"/>
          <w:sz w:val="20"/>
          <w:szCs w:val="20"/>
          <w:highlight w:val="none"/>
          <w:lang w:val="en-US" w:eastAsia="zh-CN"/>
        </w:rPr>
        <w:t xml:space="preserve">For FR2, </w:t>
      </w:r>
      <w:r>
        <w:rPr>
          <w:rFonts w:hint="default" w:ascii="Times New Roman" w:hAnsi="Times New Roman" w:eastAsia="Yu Mincho" w:cs="Times New Roman"/>
          <w:b/>
          <w:bCs w:val="0"/>
          <w:i/>
          <w:iCs w:val="0"/>
          <w:sz w:val="20"/>
          <w:szCs w:val="20"/>
          <w:highlight w:val="none"/>
        </w:rPr>
        <w:t>ground truth of L3-RSRP</w:t>
      </w:r>
      <w:r>
        <w:rPr>
          <w:rFonts w:hint="default" w:ascii="Times New Roman" w:hAnsi="Times New Roman" w:eastAsia="Yu Mincho" w:cs="Times New Roman"/>
          <w:b/>
          <w:bCs w:val="0"/>
          <w:i/>
          <w:iCs w:val="0"/>
          <w:sz w:val="20"/>
          <w:szCs w:val="20"/>
          <w:highlight w:val="none"/>
          <w:lang w:eastAsia="ja-JP"/>
        </w:rPr>
        <w:t xml:space="preserve"> is the approximate as the reported RSRP measurement under </w:t>
      </w:r>
      <w:r>
        <w:rPr>
          <w:rFonts w:hint="eastAsia" w:ascii="Times New Roman" w:hAnsi="Times New Roman" w:eastAsia="宋体" w:cs="Times New Roman"/>
          <w:b/>
          <w:bCs w:val="0"/>
          <w:i/>
          <w:iCs w:val="0"/>
          <w:sz w:val="20"/>
          <w:szCs w:val="20"/>
          <w:highlight w:val="none"/>
          <w:lang w:val="en-US" w:eastAsia="zh-CN"/>
        </w:rPr>
        <w:t>a</w:t>
      </w:r>
      <w:r>
        <w:rPr>
          <w:rFonts w:hint="default" w:ascii="Times New Roman" w:hAnsi="Times New Roman" w:eastAsia="Yu Mincho" w:cs="Times New Roman"/>
          <w:b/>
          <w:bCs w:val="0"/>
          <w:i/>
          <w:iCs w:val="0"/>
          <w:sz w:val="20"/>
          <w:szCs w:val="20"/>
          <w:highlight w:val="none"/>
          <w:lang w:eastAsia="ja-JP"/>
        </w:rPr>
        <w:t xml:space="preserve"> certain SNR</w:t>
      </w:r>
      <w:r>
        <w:rPr>
          <w:rFonts w:hint="eastAsia" w:ascii="Times New Roman" w:hAnsi="Times New Roman" w:eastAsia="宋体" w:cs="Times New Roman"/>
          <w:b/>
          <w:bCs w:val="0"/>
          <w:i/>
          <w:iCs w:val="0"/>
          <w:sz w:val="20"/>
          <w:szCs w:val="20"/>
          <w:highlight w:val="none"/>
          <w:lang w:val="en-US" w:eastAsia="zh-CN"/>
        </w:rPr>
        <w:t xml:space="preserve"> (the </w:t>
      </w:r>
      <w:r>
        <w:rPr>
          <w:rFonts w:hint="eastAsia" w:ascii="Times New Roman" w:hAnsi="Times New Roman" w:eastAsia="等线"/>
          <w:b/>
          <w:bCs w:val="0"/>
          <w:i/>
          <w:iCs w:val="0"/>
          <w:sz w:val="20"/>
          <w:szCs w:val="20"/>
          <w:highlight w:val="none"/>
          <w:lang w:val="en-US" w:eastAsia="zh-CN"/>
        </w:rPr>
        <w:t>SNR is high enough for sufficient accuracy of reported RSRP</w:t>
      </w:r>
      <w:r>
        <w:rPr>
          <w:rFonts w:hint="eastAsia" w:ascii="Times New Roman" w:hAnsi="Times New Roman" w:eastAsia="宋体" w:cs="Times New Roman"/>
          <w:b/>
          <w:bCs w:val="0"/>
          <w:i/>
          <w:iCs w:val="0"/>
          <w:sz w:val="20"/>
          <w:szCs w:val="20"/>
          <w:highlight w:val="none"/>
          <w:lang w:val="en-US" w:eastAsia="zh-CN"/>
        </w:rPr>
        <w:t>)</w:t>
      </w:r>
    </w:p>
    <w:p w14:paraId="0A5CBF66">
      <w:pPr>
        <w:numPr>
          <w:ilvl w:val="0"/>
          <w:numId w:val="5"/>
        </w:numPr>
        <w:tabs>
          <w:tab w:val="left" w:pos="420"/>
          <w:tab w:val="clear" w:pos="0"/>
        </w:tabs>
        <w:spacing w:after="180" w:line="240" w:lineRule="exact"/>
        <w:ind w:left="840" w:leftChars="0" w:hanging="420" w:firstLineChars="0"/>
        <w:rPr>
          <w:rFonts w:hint="eastAsia" w:ascii="Times New Roman" w:hAnsi="Times New Roman" w:cs="Times New Roman"/>
          <w:b/>
          <w:bCs w:val="0"/>
          <w:i/>
          <w:iCs w:val="0"/>
          <w:sz w:val="20"/>
          <w:szCs w:val="20"/>
          <w:highlight w:val="none"/>
          <w:lang w:val="en-US" w:eastAsia="zh-CN"/>
        </w:rPr>
      </w:pPr>
      <w:r>
        <w:rPr>
          <w:rFonts w:hint="eastAsia" w:ascii="Times New Roman" w:hAnsi="Times New Roman" w:eastAsia="宋体" w:cs="Times New Roman"/>
          <w:b/>
          <w:bCs w:val="0"/>
          <w:i/>
          <w:iCs w:val="0"/>
          <w:sz w:val="20"/>
          <w:szCs w:val="20"/>
          <w:highlight w:val="none"/>
          <w:lang w:val="en-US" w:eastAsia="zh-CN"/>
        </w:rPr>
        <w:t xml:space="preserve">For FR1, </w:t>
      </w:r>
      <w:r>
        <w:rPr>
          <w:rFonts w:hint="default" w:ascii="Times New Roman" w:hAnsi="Times New Roman" w:eastAsia="Yu Mincho" w:cs="Times New Roman"/>
          <w:b/>
          <w:bCs w:val="0"/>
          <w:i/>
          <w:iCs w:val="0"/>
          <w:sz w:val="20"/>
          <w:szCs w:val="20"/>
          <w:highlight w:val="none"/>
        </w:rPr>
        <w:t>ground truth of L3-RSRP</w:t>
      </w:r>
      <w:r>
        <w:rPr>
          <w:rFonts w:hint="default" w:ascii="Times New Roman" w:hAnsi="Times New Roman" w:eastAsia="宋体" w:cs="Times New Roman"/>
          <w:b/>
          <w:bCs w:val="0"/>
          <w:i/>
          <w:iCs w:val="0"/>
          <w:sz w:val="20"/>
          <w:szCs w:val="20"/>
          <w:highlight w:val="none"/>
          <w:lang w:val="en-US" w:eastAsia="ja-JP"/>
        </w:rPr>
        <w:t xml:space="preserve"> is the</w:t>
      </w:r>
      <w:r>
        <w:rPr>
          <w:rFonts w:hint="eastAsia" w:ascii="Times New Roman" w:hAnsi="Times New Roman" w:eastAsia="宋体" w:cs="Times New Roman"/>
          <w:b/>
          <w:bCs w:val="0"/>
          <w:i/>
          <w:iCs w:val="0"/>
          <w:sz w:val="20"/>
          <w:szCs w:val="20"/>
          <w:highlight w:val="none"/>
          <w:lang w:val="en-US" w:eastAsia="zh-CN"/>
        </w:rPr>
        <w:t xml:space="preserve"> transmitted power</w:t>
      </w:r>
      <w:r>
        <w:rPr>
          <w:rFonts w:hint="eastAsia" w:ascii="Times New Roman" w:hAnsi="Times New Roman" w:cs="Times New Roman"/>
          <w:b/>
          <w:bCs w:val="0"/>
          <w:i/>
          <w:iCs w:val="0"/>
          <w:sz w:val="20"/>
          <w:szCs w:val="20"/>
          <w:highlight w:val="none"/>
          <w:lang w:val="en-US" w:eastAsia="zh-CN"/>
        </w:rPr>
        <w:t xml:space="preserve">, which is obtained as the legacy way of conducted test </w:t>
      </w:r>
      <w:r>
        <w:rPr>
          <w:rFonts w:hint="eastAsia" w:ascii="Times New Roman" w:hAnsi="Times New Roman" w:eastAsia="宋体" w:cs="Times New Roman"/>
          <w:b/>
          <w:bCs w:val="0"/>
          <w:i/>
          <w:iCs w:val="0"/>
          <w:sz w:val="20"/>
          <w:szCs w:val="20"/>
          <w:highlight w:val="none"/>
          <w:lang w:val="en-US" w:eastAsia="zh-CN"/>
        </w:rPr>
        <w:t xml:space="preserve"> </w:t>
      </w:r>
    </w:p>
    <w:p w14:paraId="100F1757">
      <w:pPr>
        <w:numPr>
          <w:ilvl w:val="0"/>
          <w:numId w:val="0"/>
        </w:numPr>
        <w:tabs>
          <w:tab w:val="left" w:pos="420"/>
        </w:tabs>
        <w:spacing w:after="180" w:line="240" w:lineRule="exact"/>
        <w:ind w:left="420" w:leftChars="0"/>
        <w:rPr>
          <w:rFonts w:hint="eastAsia" w:ascii="Times New Roman" w:hAnsi="Times New Roman" w:cs="Times New Roman"/>
          <w:b/>
          <w:bCs w:val="0"/>
          <w:i/>
          <w:iCs w:val="0"/>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C24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B22BF2F">
            <w:pPr>
              <w:spacing w:after="120"/>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Issue 2-1-2: Impacts on beam/cell level measurements</w:t>
            </w:r>
          </w:p>
          <w:p w14:paraId="1F0D3C4D">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Background:</w:t>
            </w:r>
          </w:p>
          <w:p w14:paraId="59CF21B9">
            <w:pPr>
              <w:spacing w:after="120"/>
              <w:ind w:left="36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The following agreement was achieved in RAN4#112bis meeting:</w:t>
            </w:r>
          </w:p>
          <w:tbl>
            <w:tblPr>
              <w:tblStyle w:val="10"/>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5"/>
            </w:tblGrid>
            <w:tr w14:paraId="6D2CD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14:paraId="7A4DA88B">
                  <w:p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val="en-GB" w:eastAsia="zh-CN"/>
                    </w:rPr>
                    <w:t>Agreement:</w:t>
                  </w:r>
                </w:p>
                <w:p w14:paraId="1047E3BF">
                  <w:pPr>
                    <w:numPr>
                      <w:ilvl w:val="0"/>
                      <w:numId w:val="6"/>
                    </w:num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eastAsia="zh-CN"/>
                    </w:rPr>
                    <w:t>RAN4 to first study the impacts on requirements for the following case:</w:t>
                  </w:r>
                </w:p>
                <w:p w14:paraId="30F8C49E">
                  <w:pPr>
                    <w:numPr>
                      <w:ilvl w:val="1"/>
                      <w:numId w:val="6"/>
                    </w:num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eastAsia="zh-CN"/>
                    </w:rPr>
                    <w:t>L3 cell level RSRP (Point C) prediction</w:t>
                  </w:r>
                </w:p>
                <w:p w14:paraId="529BBE02">
                  <w:pPr>
                    <w:numPr>
                      <w:ilvl w:val="1"/>
                      <w:numId w:val="6"/>
                    </w:num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eastAsia="zh-CN"/>
                    </w:rPr>
                    <w:t>FFS L1 beam-level (Point A</w:t>
                  </w:r>
                  <w:r>
                    <w:rPr>
                      <w:rFonts w:hint="default" w:ascii="Times New Roman" w:hAnsi="Times New Roman" w:eastAsia="Yu Mincho" w:cs="Times New Roman"/>
                      <w:color w:val="auto"/>
                      <w:sz w:val="20"/>
                      <w:szCs w:val="20"/>
                      <w:vertAlign w:val="superscript"/>
                      <w:lang w:eastAsia="zh-CN"/>
                    </w:rPr>
                    <w:t>1</w:t>
                  </w:r>
                  <w:r>
                    <w:rPr>
                      <w:rFonts w:hint="default" w:ascii="Times New Roman" w:hAnsi="Times New Roman" w:eastAsia="Yu Mincho" w:cs="Times New Roman"/>
                      <w:color w:val="auto"/>
                      <w:sz w:val="20"/>
                      <w:szCs w:val="20"/>
                      <w:lang w:eastAsia="zh-CN"/>
                    </w:rPr>
                    <w:t>)</w:t>
                  </w:r>
                </w:p>
                <w:p w14:paraId="3BD5400C">
                  <w:pPr>
                    <w:numPr>
                      <w:ilvl w:val="1"/>
                      <w:numId w:val="6"/>
                    </w:num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eastAsia="zh-CN"/>
                    </w:rPr>
                    <w:t>FFS L3 beam-level (Point E)</w:t>
                  </w:r>
                </w:p>
                <w:p w14:paraId="46CE234B">
                  <w:pPr>
                    <w:numPr>
                      <w:ilvl w:val="1"/>
                      <w:numId w:val="6"/>
                    </w:num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eastAsia="zh-CN"/>
                    </w:rPr>
                    <w:t>Other cases can be considered based on RAN4 further discussion and RAN2 further progress.</w:t>
                  </w:r>
                </w:p>
              </w:tc>
            </w:tr>
          </w:tbl>
          <w:p w14:paraId="05B2EE3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color w:val="auto"/>
                <w:sz w:val="20"/>
                <w:szCs w:val="20"/>
                <w:vertAlign w:val="baseline"/>
                <w:lang w:val="en-US" w:eastAsia="zh-CN"/>
              </w:rPr>
            </w:pPr>
          </w:p>
          <w:p w14:paraId="4F3CEB8C">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 and Observations:</w:t>
            </w:r>
          </w:p>
          <w:p w14:paraId="6F2533FF">
            <w:pPr>
              <w:pStyle w:val="12"/>
              <w:numPr>
                <w:ilvl w:val="1"/>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 xml:space="preserve">Proposal 1 (Ericsson, Xiaomi, Samsung, MediaTek, vivo): </w:t>
            </w:r>
          </w:p>
          <w:p w14:paraId="0148AB30">
            <w:pPr>
              <w:pStyle w:val="12"/>
              <w:numPr>
                <w:ilvl w:val="2"/>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RAN4 to not consider studying impact on RAN4 requirement due to L3 beam-level measurement prediction at point E to align with RAN2 prioritization.</w:t>
            </w:r>
          </w:p>
          <w:p w14:paraId="5BDBF321">
            <w:pPr>
              <w:pStyle w:val="12"/>
              <w:numPr>
                <w:ilvl w:val="1"/>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Proposal 2 (ZTE):</w:t>
            </w:r>
          </w:p>
          <w:p w14:paraId="200B16A7">
            <w:pPr>
              <w:pStyle w:val="12"/>
              <w:numPr>
                <w:ilvl w:val="2"/>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RAN4 should guarantee the performance of RRM measurement prediction, and define measurement prediction accuracy for AI/ML-based predicted beam level L1/L3-filtered or cell-level L3-filtered.</w:t>
            </w:r>
          </w:p>
          <w:p w14:paraId="6470C58E">
            <w:pPr>
              <w:pStyle w:val="12"/>
              <w:numPr>
                <w:ilvl w:val="1"/>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Proposal 3 (CMCC):</w:t>
            </w:r>
          </w:p>
          <w:p w14:paraId="5557BDF7">
            <w:pPr>
              <w:pStyle w:val="12"/>
              <w:numPr>
                <w:ilvl w:val="2"/>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For the study on the impacts on requirements, except L3 cell level RSRP (Point C) prediction, it is proposed to consider L1 beam-level (Point A1). L3 beam-level (Point E) can be deprioritized based on RAN2 agreements</w:t>
            </w:r>
          </w:p>
          <w:p w14:paraId="221F7D5B">
            <w:pPr>
              <w:pStyle w:val="12"/>
              <w:numPr>
                <w:ilvl w:val="1"/>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Proposal 4 (Apple):</w:t>
            </w:r>
          </w:p>
          <w:p w14:paraId="2D18D09F">
            <w:pPr>
              <w:pStyle w:val="12"/>
              <w:numPr>
                <w:ilvl w:val="2"/>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 xml:space="preserve">RAN4 will need to study accuracy requirements for AI/ML predicted cell-level L3-filtered measurements for measurement reduction purpose. FFS on predicted beam level L3-filtered measurements (point E) </w:t>
            </w:r>
          </w:p>
          <w:p w14:paraId="2C081EF5">
            <w:pPr>
              <w:pStyle w:val="12"/>
              <w:numPr>
                <w:ilvl w:val="1"/>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Proposal 5 (Samsung):</w:t>
            </w:r>
          </w:p>
          <w:p w14:paraId="4E986383">
            <w:pPr>
              <w:pStyle w:val="12"/>
              <w:numPr>
                <w:ilvl w:val="2"/>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RAN4 to first study the impacts on requirements for L3 cell level RSRP (Point C) prediction</w:t>
            </w:r>
          </w:p>
          <w:p w14:paraId="472E6F82">
            <w:pPr>
              <w:pStyle w:val="12"/>
              <w:numPr>
                <w:ilvl w:val="2"/>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If RAN4 to study the impacts on requirements for L1 beam-level (Point A</w:t>
            </w:r>
            <w:r>
              <w:rPr>
                <w:rFonts w:hint="default" w:ascii="Times New Roman" w:hAnsi="Times New Roman" w:eastAsia="Yu Mincho" w:cs="Times New Roman"/>
                <w:color w:val="auto"/>
                <w:sz w:val="20"/>
                <w:szCs w:val="20"/>
                <w:vertAlign w:val="superscript"/>
              </w:rPr>
              <w:t>1</w:t>
            </w:r>
            <w:r>
              <w:rPr>
                <w:rFonts w:hint="default" w:ascii="Times New Roman" w:hAnsi="Times New Roman" w:eastAsia="Yu Mincho" w:cs="Times New Roman"/>
                <w:color w:val="auto"/>
                <w:sz w:val="20"/>
                <w:szCs w:val="20"/>
              </w:rPr>
              <w:t>)</w:t>
            </w:r>
          </w:p>
          <w:p w14:paraId="5B789CAD">
            <w:pPr>
              <w:pStyle w:val="12"/>
              <w:numPr>
                <w:ilvl w:val="3"/>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Whether to/How to define an additional prediction accuracy requirement on top of the requirement at C</w:t>
            </w:r>
          </w:p>
          <w:p w14:paraId="3D1F7981">
            <w:pPr>
              <w:pStyle w:val="12"/>
              <w:numPr>
                <w:ilvl w:val="1"/>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Proposal 6 (Nokia, Qualcomm):</w:t>
            </w:r>
          </w:p>
          <w:p w14:paraId="7B852FD6">
            <w:pPr>
              <w:pStyle w:val="12"/>
              <w:numPr>
                <w:ilvl w:val="2"/>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 xml:space="preserve">RAN4 to focus first on L3 cell level RSRP (Point C) prediction and subsequently on L3 beam-level prediction (Point E).  </w:t>
            </w:r>
          </w:p>
          <w:p w14:paraId="3F892D1D">
            <w:pPr>
              <w:pStyle w:val="12"/>
              <w:numPr>
                <w:ilvl w:val="1"/>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eastAsia="Yu Mincho" w:cs="Times New Roman"/>
                <w:color w:val="auto"/>
                <w:sz w:val="20"/>
                <w:szCs w:val="20"/>
              </w:rPr>
              <w:t xml:space="preserve">Proposal 7 (Oppo): All three sub-use cases should use L3-level measurements as test objects for RAN4 testing (Point C ), rather than L1/L3 beam-level results(e.g. point A or E). </w:t>
            </w:r>
          </w:p>
          <w:p w14:paraId="0C947B7E">
            <w:pPr>
              <w:pStyle w:val="12"/>
              <w:numPr>
                <w:ilvl w:val="1"/>
                <w:numId w:val="4"/>
              </w:numPr>
              <w:spacing w:before="120" w:after="120"/>
              <w:ind w:firstLineChars="0"/>
              <w:rPr>
                <w:rFonts w:hint="default" w:ascii="Times New Roman" w:hAnsi="Times New Roman" w:eastAsia="Yu Mincho" w:cs="Times New Roman"/>
                <w:color w:val="auto"/>
                <w:sz w:val="20"/>
                <w:szCs w:val="20"/>
              </w:rPr>
            </w:pPr>
            <w:r>
              <w:rPr>
                <w:rFonts w:hint="default" w:ascii="Times New Roman" w:hAnsi="Times New Roman" w:cs="Times New Roman" w:eastAsiaTheme="minorEastAsia"/>
                <w:color w:val="auto"/>
                <w:sz w:val="20"/>
                <w:szCs w:val="20"/>
                <w:lang w:eastAsia="zh-CN"/>
              </w:rPr>
              <w:t>Proposal 8 (CATT): Do not define new accuracy requirements for point C and evaluate if the existing accuracy requirements can be reused for measurement reduction cases.</w:t>
            </w:r>
          </w:p>
          <w:p w14:paraId="7965D333">
            <w:pPr>
              <w:pStyle w:val="12"/>
              <w:numPr>
                <w:ilvl w:val="1"/>
                <w:numId w:val="4"/>
              </w:numPr>
              <w:spacing w:before="120" w:after="120"/>
              <w:ind w:firstLineChars="0"/>
              <w:rPr>
                <w:rFonts w:hint="default" w:ascii="Times New Roman" w:hAnsi="Times New Roman" w:cs="Times New Roman" w:eastAsiaTheme="minorEastAsia"/>
                <w:color w:val="auto"/>
                <w:sz w:val="20"/>
                <w:szCs w:val="20"/>
                <w:lang w:eastAsia="zh-CN"/>
              </w:rPr>
            </w:pPr>
            <w:r>
              <w:rPr>
                <w:rFonts w:hint="default" w:ascii="Times New Roman" w:hAnsi="Times New Roman" w:cs="Times New Roman" w:eastAsiaTheme="minorEastAsia"/>
                <w:color w:val="auto"/>
                <w:sz w:val="20"/>
                <w:szCs w:val="20"/>
                <w:lang w:eastAsia="zh-CN"/>
              </w:rPr>
              <w:t>Proposal 9 (Huawei): For 3 sub-use cases for cell-level RRM measurement prediction, RAN4 is to define measurement prediction accuracy at point C.</w:t>
            </w:r>
          </w:p>
          <w:p w14:paraId="0CECA5C3">
            <w:pPr>
              <w:pStyle w:val="12"/>
              <w:numPr>
                <w:ilvl w:val="1"/>
                <w:numId w:val="4"/>
              </w:numPr>
              <w:spacing w:before="120" w:after="120"/>
              <w:ind w:firstLineChars="0"/>
              <w:rPr>
                <w:rFonts w:hint="default" w:ascii="Times New Roman" w:hAnsi="Times New Roman" w:cs="Times New Roman" w:eastAsiaTheme="minorEastAsia"/>
                <w:color w:val="auto"/>
                <w:sz w:val="20"/>
                <w:szCs w:val="20"/>
                <w:lang w:eastAsia="zh-CN"/>
              </w:rPr>
            </w:pPr>
            <w:r>
              <w:rPr>
                <w:rFonts w:hint="default" w:ascii="Times New Roman" w:hAnsi="Times New Roman" w:cs="Times New Roman" w:eastAsiaTheme="minorEastAsia"/>
                <w:color w:val="auto"/>
                <w:sz w:val="20"/>
                <w:szCs w:val="20"/>
                <w:lang w:eastAsia="zh-CN"/>
              </w:rPr>
              <w:t>Proposal 10 (vivo): RAN4 only to consider the AI predict metric as the KPI and study for each cases:</w:t>
            </w:r>
          </w:p>
          <w:p w14:paraId="6D9FD8F8">
            <w:pPr>
              <w:pStyle w:val="12"/>
              <w:numPr>
                <w:ilvl w:val="2"/>
                <w:numId w:val="4"/>
              </w:numPr>
              <w:spacing w:before="120" w:after="120"/>
              <w:ind w:firstLineChars="0"/>
              <w:rPr>
                <w:rFonts w:hint="default" w:ascii="Times New Roman" w:hAnsi="Times New Roman" w:cs="Times New Roman" w:eastAsiaTheme="minorEastAsia"/>
                <w:color w:val="auto"/>
                <w:sz w:val="20"/>
                <w:szCs w:val="20"/>
                <w:lang w:eastAsia="zh-CN"/>
              </w:rPr>
            </w:pPr>
            <w:r>
              <w:rPr>
                <w:rFonts w:hint="default" w:ascii="Times New Roman" w:hAnsi="Times New Roman" w:cs="Times New Roman" w:eastAsiaTheme="minorEastAsia"/>
                <w:color w:val="auto"/>
                <w:sz w:val="20"/>
                <w:szCs w:val="20"/>
                <w:lang w:eastAsia="zh-CN"/>
              </w:rPr>
              <w:t xml:space="preserve">Sub-use case 1: </w:t>
            </w:r>
          </w:p>
          <w:p w14:paraId="2853859A">
            <w:pPr>
              <w:pStyle w:val="12"/>
              <w:numPr>
                <w:ilvl w:val="3"/>
                <w:numId w:val="4"/>
              </w:numPr>
              <w:spacing w:before="120" w:after="120"/>
              <w:ind w:firstLineChars="0"/>
              <w:rPr>
                <w:rFonts w:hint="default" w:ascii="Times New Roman" w:hAnsi="Times New Roman" w:cs="Times New Roman" w:eastAsiaTheme="minorEastAsia"/>
                <w:color w:val="auto"/>
                <w:sz w:val="20"/>
                <w:szCs w:val="20"/>
                <w:lang w:eastAsia="zh-CN"/>
              </w:rPr>
            </w:pPr>
            <w:r>
              <w:rPr>
                <w:rFonts w:hint="default" w:ascii="Times New Roman" w:hAnsi="Times New Roman" w:cs="Times New Roman" w:eastAsiaTheme="minorEastAsia"/>
                <w:color w:val="auto"/>
                <w:sz w:val="20"/>
                <w:szCs w:val="20"/>
                <w:lang w:eastAsia="zh-CN"/>
              </w:rPr>
              <w:t>Evaluate prediction accuracy for point A/A1</w:t>
            </w:r>
          </w:p>
          <w:p w14:paraId="273920D1">
            <w:pPr>
              <w:pStyle w:val="12"/>
              <w:numPr>
                <w:ilvl w:val="2"/>
                <w:numId w:val="4"/>
              </w:numPr>
              <w:spacing w:before="120" w:after="120"/>
              <w:ind w:firstLineChars="0"/>
              <w:rPr>
                <w:rFonts w:hint="default" w:ascii="Times New Roman" w:hAnsi="Times New Roman" w:cs="Times New Roman" w:eastAsiaTheme="minorEastAsia"/>
                <w:color w:val="auto"/>
                <w:sz w:val="20"/>
                <w:szCs w:val="20"/>
                <w:lang w:eastAsia="zh-CN"/>
              </w:rPr>
            </w:pPr>
            <w:r>
              <w:rPr>
                <w:rFonts w:hint="default" w:ascii="Times New Roman" w:hAnsi="Times New Roman" w:cs="Times New Roman" w:eastAsiaTheme="minorEastAsia"/>
                <w:color w:val="auto"/>
                <w:sz w:val="20"/>
                <w:szCs w:val="20"/>
                <w:lang w:eastAsia="zh-CN"/>
              </w:rPr>
              <w:t xml:space="preserve">Sub-use case 2: </w:t>
            </w:r>
          </w:p>
          <w:p w14:paraId="55ACAA6C">
            <w:pPr>
              <w:pStyle w:val="12"/>
              <w:numPr>
                <w:ilvl w:val="3"/>
                <w:numId w:val="4"/>
              </w:numPr>
              <w:spacing w:before="120" w:after="120"/>
              <w:ind w:firstLineChars="0"/>
              <w:rPr>
                <w:rFonts w:hint="default" w:ascii="Times New Roman" w:hAnsi="Times New Roman" w:cs="Times New Roman" w:eastAsiaTheme="minorEastAsia"/>
                <w:color w:val="auto"/>
                <w:sz w:val="20"/>
                <w:szCs w:val="20"/>
                <w:lang w:eastAsia="zh-CN"/>
              </w:rPr>
            </w:pPr>
            <w:r>
              <w:rPr>
                <w:rFonts w:hint="default" w:ascii="Times New Roman" w:hAnsi="Times New Roman" w:cs="Times New Roman" w:eastAsiaTheme="minorEastAsia"/>
                <w:color w:val="auto"/>
                <w:sz w:val="20"/>
                <w:szCs w:val="20"/>
                <w:lang w:eastAsia="zh-CN"/>
              </w:rPr>
              <w:t>Evaluate prediction accuracy for point C</w:t>
            </w:r>
          </w:p>
          <w:p w14:paraId="5C12C96C">
            <w:pPr>
              <w:pStyle w:val="12"/>
              <w:numPr>
                <w:ilvl w:val="2"/>
                <w:numId w:val="4"/>
              </w:numPr>
              <w:spacing w:before="120" w:after="120"/>
              <w:ind w:firstLineChars="0"/>
              <w:rPr>
                <w:rFonts w:hint="default" w:ascii="Times New Roman" w:hAnsi="Times New Roman" w:cs="Times New Roman" w:eastAsiaTheme="minorEastAsia"/>
                <w:color w:val="auto"/>
                <w:sz w:val="20"/>
                <w:szCs w:val="20"/>
                <w:lang w:eastAsia="zh-CN"/>
              </w:rPr>
            </w:pPr>
            <w:r>
              <w:rPr>
                <w:rFonts w:hint="default" w:ascii="Times New Roman" w:hAnsi="Times New Roman" w:cs="Times New Roman" w:eastAsiaTheme="minorEastAsia"/>
                <w:color w:val="auto"/>
                <w:sz w:val="20"/>
                <w:szCs w:val="20"/>
                <w:lang w:eastAsia="zh-CN"/>
              </w:rPr>
              <w:t xml:space="preserve">Sub-use case 3: </w:t>
            </w:r>
          </w:p>
          <w:p w14:paraId="57C62C6B">
            <w:pPr>
              <w:pStyle w:val="12"/>
              <w:numPr>
                <w:ilvl w:val="3"/>
                <w:numId w:val="4"/>
              </w:numPr>
              <w:spacing w:before="120" w:after="120"/>
              <w:ind w:firstLineChars="0"/>
              <w:rPr>
                <w:rFonts w:hint="default" w:ascii="Times New Roman" w:hAnsi="Times New Roman" w:cs="Times New Roman" w:eastAsiaTheme="minorEastAsia"/>
                <w:color w:val="auto"/>
                <w:sz w:val="20"/>
                <w:szCs w:val="20"/>
                <w:lang w:eastAsia="zh-CN"/>
              </w:rPr>
            </w:pPr>
            <w:r>
              <w:rPr>
                <w:rFonts w:hint="default" w:ascii="Times New Roman" w:hAnsi="Times New Roman" w:cs="Times New Roman" w:eastAsiaTheme="minorEastAsia"/>
                <w:color w:val="auto"/>
                <w:sz w:val="20"/>
                <w:szCs w:val="20"/>
                <w:lang w:eastAsia="zh-CN"/>
              </w:rPr>
              <w:t>Study performance metrics for point C with considering:</w:t>
            </w:r>
          </w:p>
          <w:p w14:paraId="40FFF025">
            <w:pPr>
              <w:pStyle w:val="12"/>
              <w:numPr>
                <w:ilvl w:val="3"/>
                <w:numId w:val="4"/>
              </w:numPr>
              <w:spacing w:before="120" w:after="120"/>
              <w:ind w:firstLineChars="0"/>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eastAsiaTheme="minorEastAsia"/>
                <w:color w:val="auto"/>
                <w:sz w:val="20"/>
                <w:szCs w:val="20"/>
                <w:lang w:eastAsia="zh-CN"/>
              </w:rPr>
              <w:t>RAN4 to find out how to obtain the ground truth value by considering the RRC configuration, e.g., L3 filtering.</w:t>
            </w:r>
          </w:p>
        </w:tc>
      </w:tr>
    </w:tbl>
    <w:p w14:paraId="61F9A8C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p>
    <w:p w14:paraId="4CB741F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In RAN4 #112bis meeting, i</w:t>
      </w:r>
      <w:r>
        <w:rPr>
          <w:rFonts w:hint="eastAsia" w:ascii="Times New Roman" w:hAnsi="Times New Roman" w:eastAsia="等线"/>
          <w:bCs/>
          <w:iCs/>
          <w:sz w:val="20"/>
          <w:szCs w:val="20"/>
          <w:lang w:val="en-US" w:eastAsia="zh-CN"/>
        </w:rPr>
        <w:t xml:space="preserve">t was agreed that RAN4 firstly study the impacts on requirements for L3 cell level RSRP (Point C) prediction. FFS L1 beam-level (Point A1) and L3 beam-level (Point E). </w:t>
      </w:r>
    </w:p>
    <w:p w14:paraId="0634F939">
      <w:pPr>
        <w:bidi w:val="0"/>
        <w:rPr>
          <w:rFonts w:hint="eastAsia" w:ascii="Times New Roman" w:hAnsi="Times New Roman" w:eastAsia="等线"/>
          <w:bCs/>
          <w:iCs/>
          <w:sz w:val="20"/>
          <w:szCs w:val="20"/>
          <w:lang w:val="en-US" w:eastAsia="zh-CN"/>
        </w:rPr>
      </w:pPr>
      <w:r>
        <w:object>
          <v:shape id="_x0000_i1025" o:spt="75" type="#_x0000_t75" style="height:222.45pt;width:451.9pt;" o:ole="t" filled="f" o:preferrelative="t" stroked="f" coordsize="21600,21600">
            <v:path/>
            <v:fill on="f" focussize="0,0"/>
            <v:stroke on="f" joinstyle="miter"/>
            <v:imagedata r:id="rId4" o:title=""/>
            <o:lock v:ext="edit" aspectratio="t"/>
            <w10:wrap type="none"/>
            <w10:anchorlock/>
          </v:shape>
          <o:OLEObject Type="Embed" ProgID="Visio.Drawing.11" ShapeID="_x0000_i1025" DrawAspect="Content" ObjectID="_1468075725">
            <o:LockedField>false</o:LockedField>
          </o:OLEObject>
        </w:object>
      </w:r>
    </w:p>
    <w:p w14:paraId="68D6B42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bCs/>
          <w:iCs/>
          <w:sz w:val="20"/>
          <w:szCs w:val="20"/>
          <w:lang w:val="en-US" w:eastAsia="zh-CN"/>
        </w:rPr>
      </w:pPr>
      <w:r>
        <w:rPr>
          <w:rFonts w:hint="eastAsia" w:ascii="Times New Roman" w:hAnsi="Times New Roman" w:eastAsia="等线"/>
          <w:bCs/>
          <w:iCs/>
          <w:sz w:val="20"/>
          <w:szCs w:val="20"/>
          <w:lang w:val="en-US" w:eastAsia="zh-CN"/>
        </w:rPr>
        <w:t>For the firstly studied scenrios 2, 3, 4, sub-use case 1, 2, 3 are considered. For sub-use case 1: L1 beam-level measurement result(s) is predicted based on actual L1 beam-level measurement result(s) and then L3 cell-level measurement result is generated, it can be seen that L1 beam results are predicted which can be used to generate L3 filtered results. From this point of view, L1 beam-level (Point A</w:t>
      </w:r>
      <w:r>
        <w:rPr>
          <w:rFonts w:hint="eastAsia" w:ascii="Times New Roman" w:hAnsi="Times New Roman" w:eastAsia="等线"/>
          <w:bCs/>
          <w:iCs/>
          <w:sz w:val="20"/>
          <w:szCs w:val="20"/>
          <w:vertAlign w:val="superscript"/>
          <w:lang w:val="en-US" w:eastAsia="zh-CN"/>
        </w:rPr>
        <w:t>1</w:t>
      </w:r>
      <w:r>
        <w:rPr>
          <w:rFonts w:hint="eastAsia" w:ascii="Times New Roman" w:hAnsi="Times New Roman" w:eastAsia="等线"/>
          <w:bCs/>
          <w:iCs/>
          <w:sz w:val="20"/>
          <w:szCs w:val="20"/>
          <w:lang w:val="en-US" w:eastAsia="zh-CN"/>
        </w:rPr>
        <w:t xml:space="preserve">) can also be considered. According to RAN2 agreements, </w:t>
      </w:r>
      <w:r>
        <w:rPr>
          <w:rFonts w:hint="default" w:ascii="Times New Roman" w:hAnsi="Times New Roman" w:cs="Times New Roman"/>
          <w:sz w:val="20"/>
          <w:szCs w:val="20"/>
          <w:lang w:eastAsia="en-US"/>
        </w:rPr>
        <w:t>L3 filtered beam level prediction cases are lower priority</w:t>
      </w:r>
      <w:r>
        <w:rPr>
          <w:rFonts w:hint="eastAsia" w:ascii="Times New Roman" w:hAnsi="Times New Roman" w:cs="Times New Roman"/>
          <w:sz w:val="20"/>
          <w:szCs w:val="20"/>
          <w:lang w:val="en-US" w:eastAsia="zh-CN"/>
        </w:rPr>
        <w:t>. RAN4 can follow RAN2 conclusion to deprioritize this case.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0F0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0556923">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Agreements in RAN2#127 meeting</w:t>
            </w:r>
          </w:p>
          <w:p w14:paraId="25D301FE">
            <w:pPr>
              <w:pStyle w:val="15"/>
              <w:numPr>
                <w:ilvl w:val="0"/>
                <w:numId w:val="7"/>
              </w:numPr>
              <w:overflowPunct/>
              <w:autoSpaceDE/>
              <w:autoSpaceDN/>
              <w:adjustRightInd/>
              <w:ind w:left="359" w:leftChars="0" w:hanging="360" w:firstLineChars="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 xml:space="preserve">Companies can consider to do L3 filtered beam level results for any of this cases. </w:t>
            </w:r>
            <w:r>
              <w:rPr>
                <w:rFonts w:hint="default" w:ascii="Times New Roman" w:hAnsi="Times New Roman" w:cs="Times New Roman"/>
                <w:sz w:val="20"/>
                <w:szCs w:val="20"/>
                <w:highlight w:val="cyan"/>
                <w:lang w:eastAsia="en-US"/>
              </w:rPr>
              <w:t>L3 filtered beam level prediction cases are lower priority</w:t>
            </w:r>
            <w:r>
              <w:rPr>
                <w:rFonts w:hint="default" w:ascii="Times New Roman" w:hAnsi="Times New Roman" w:cs="Times New Roman"/>
                <w:sz w:val="20"/>
                <w:szCs w:val="20"/>
                <w:lang w:eastAsia="en-US"/>
              </w:rPr>
              <w:t xml:space="preserve">.  </w:t>
            </w:r>
          </w:p>
          <w:p w14:paraId="4CB0C715">
            <w:pPr>
              <w:pStyle w:val="15"/>
              <w:numPr>
                <w:ilvl w:val="1"/>
                <w:numId w:val="8"/>
              </w:numPr>
              <w:overflowPunct/>
              <w:autoSpaceDE/>
              <w:autoSpaceDN/>
              <w:adjustRightInd/>
              <w:ind w:left="1079"/>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Case 1: To predict L1 filtered beam level results, then generate L3 filtered results based on the predicted L1 beam results.</w:t>
            </w:r>
          </w:p>
          <w:p w14:paraId="08672775">
            <w:pPr>
              <w:pStyle w:val="15"/>
              <w:numPr>
                <w:ilvl w:val="1"/>
                <w:numId w:val="8"/>
              </w:numPr>
              <w:overflowPunct/>
              <w:autoSpaceDE/>
              <w:autoSpaceDN/>
              <w:adjustRightInd/>
              <w:ind w:left="1079"/>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Case 2: To directly predict L3 filtered beam level results based on the L3 beam level measurement results.</w:t>
            </w:r>
          </w:p>
          <w:p w14:paraId="2EC45267">
            <w:pPr>
              <w:pStyle w:val="15"/>
              <w:numPr>
                <w:ilvl w:val="1"/>
                <w:numId w:val="8"/>
              </w:numPr>
              <w:overflowPunct/>
              <w:autoSpaceDE/>
              <w:autoSpaceDN/>
              <w:adjustRightInd/>
              <w:ind w:left="1079"/>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Case 3: To directly predict L3 filtered beam level results based on the L1 beam level measurement results.</w:t>
            </w:r>
          </w:p>
          <w:p w14:paraId="7F4DA318">
            <w:pPr>
              <w:numPr>
                <w:ilvl w:val="0"/>
                <w:numId w:val="9"/>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kern w:val="2"/>
                <w:sz w:val="20"/>
                <w:szCs w:val="20"/>
                <w:lang w:val="en-US" w:eastAsia="en-US" w:bidi="ar-SA"/>
              </w:rPr>
              <w:t xml:space="preserve">If companies do L3 filtered beam level prediction simulations, they should focus on FR2-to-FR2 intra-frequency temporal domain prediction case A </w:t>
            </w:r>
            <w:r>
              <w:rPr>
                <w:rFonts w:hint="default" w:ascii="Times New Roman" w:hAnsi="Times New Roman" w:eastAsia="等线" w:cs="Times New Roman"/>
                <w:bCs/>
                <w:iCs/>
                <w:sz w:val="20"/>
                <w:szCs w:val="20"/>
                <w:vertAlign w:val="baseline"/>
                <w:lang w:val="en-US" w:eastAsia="zh-CN"/>
              </w:rPr>
              <w:t xml:space="preserve"> </w:t>
            </w:r>
          </w:p>
        </w:tc>
      </w:tr>
    </w:tbl>
    <w:p w14:paraId="5A4C8A27">
      <w:pPr>
        <w:spacing w:after="180" w:line="240" w:lineRule="exact"/>
        <w:rPr>
          <w:rFonts w:hint="eastAsia" w:ascii="Times New Roman" w:hAnsi="Times New Roman" w:eastAsia="等线"/>
          <w:bCs/>
          <w:iCs/>
          <w:sz w:val="20"/>
          <w:szCs w:val="20"/>
          <w:lang w:val="en-US" w:eastAsia="zh-CN"/>
        </w:rPr>
      </w:pPr>
    </w:p>
    <w:p w14:paraId="5F1BFEF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except L3 cell level RSRP (Point C) prediction, it is proposed that RAN4 to consider L1 beam-level (Point A</w:t>
      </w:r>
      <w:r>
        <w:rPr>
          <w:rFonts w:hint="eastAsia" w:ascii="Times New Roman" w:hAnsi="Times New Roman" w:eastAsia="等线"/>
          <w:b/>
          <w:bCs w:val="0"/>
          <w:i/>
          <w:iCs w:val="0"/>
          <w:sz w:val="20"/>
          <w:szCs w:val="20"/>
          <w:vertAlign w:val="superscript"/>
          <w:lang w:val="en-US" w:eastAsia="zh-CN"/>
        </w:rPr>
        <w:t>1</w:t>
      </w:r>
      <w:r>
        <w:rPr>
          <w:rFonts w:hint="eastAsia" w:ascii="Times New Roman" w:hAnsi="Times New Roman" w:eastAsia="等线"/>
          <w:b/>
          <w:bCs w:val="0"/>
          <w:i/>
          <w:iCs w:val="0"/>
          <w:sz w:val="20"/>
          <w:szCs w:val="20"/>
          <w:lang w:val="en-US" w:eastAsia="zh-CN"/>
        </w:rPr>
        <w:t>). And it is proposed that L3 beam-level (Point E) can be deprioritized based on RAN2 agreements.</w:t>
      </w:r>
    </w:p>
    <w:p w14:paraId="697D46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
          <w:bCs w:val="0"/>
          <w:i/>
          <w:iCs w:val="0"/>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E5C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04B9D71C">
            <w:pPr>
              <w:spacing w:after="120"/>
              <w:rPr>
                <w:rFonts w:hint="default" w:ascii="Times New Roman" w:hAnsi="Times New Roman" w:cs="Times New Roman"/>
                <w:sz w:val="20"/>
                <w:szCs w:val="20"/>
                <w:highlight w:val="green"/>
              </w:rPr>
            </w:pPr>
            <w:r>
              <w:rPr>
                <w:rFonts w:hint="default" w:ascii="Times New Roman" w:hAnsi="Times New Roman" w:cs="Times New Roman"/>
                <w:b/>
                <w:sz w:val="20"/>
                <w:szCs w:val="20"/>
                <w:u w:val="single"/>
              </w:rPr>
              <w:t>Issue 2-1-3: Impacts of measurement error on prediction accuracy</w:t>
            </w:r>
          </w:p>
          <w:p w14:paraId="5E5385DC">
            <w:pPr>
              <w:pStyle w:val="12"/>
              <w:numPr>
                <w:ilvl w:val="0"/>
                <w:numId w:val="4"/>
              </w:numPr>
              <w:overflowPunct/>
              <w:autoSpaceDE/>
              <w:autoSpaceDN/>
              <w:adjustRightInd/>
              <w:snapToGrid w:val="0"/>
              <w:spacing w:after="120"/>
              <w:ind w:left="72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Candidate options:</w:t>
            </w:r>
          </w:p>
          <w:p w14:paraId="45433FE8">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color w:val="000000" w:themeColor="text1"/>
                <w:sz w:val="20"/>
                <w:szCs w:val="20"/>
                <w14:textFill>
                  <w14:solidFill>
                    <w14:schemeClr w14:val="tx1"/>
                  </w14:solidFill>
                </w14:textFill>
              </w:rPr>
              <w:t xml:space="preserve">Option 1: </w:t>
            </w:r>
            <w:r>
              <w:rPr>
                <w:rFonts w:hint="default" w:ascii="Times New Roman" w:hAnsi="Times New Roman" w:eastAsia="Yu Mincho" w:cs="Times New Roman"/>
                <w:sz w:val="20"/>
                <w:szCs w:val="20"/>
              </w:rPr>
              <w:t xml:space="preserve">RAN4 should study the impact of measurement error on the prediction accuracy during SI phase </w:t>
            </w:r>
          </w:p>
          <w:p w14:paraId="3FF79234">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Option 2: </w:t>
            </w:r>
            <w:r>
              <w:rPr>
                <w:rFonts w:hint="default" w:ascii="Times New Roman" w:hAnsi="Times New Roman" w:eastAsia="Yu Mincho" w:cs="Times New Roman"/>
                <w:sz w:val="20"/>
                <w:szCs w:val="20"/>
              </w:rPr>
              <w:t>RAN4 to not study the impact of measurement error on the prediction accuracy during SI phase</w:t>
            </w:r>
          </w:p>
          <w:p w14:paraId="17B0B673">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color w:val="000000" w:themeColor="text1"/>
                <w:sz w:val="20"/>
                <w:szCs w:val="20"/>
                <w14:textFill>
                  <w14:solidFill>
                    <w14:schemeClr w14:val="tx1"/>
                  </w14:solidFill>
                </w14:textFill>
              </w:rPr>
              <w:t xml:space="preserve">Option 3: </w:t>
            </w:r>
            <w:r>
              <w:rPr>
                <w:rFonts w:hint="default" w:ascii="Times New Roman" w:hAnsi="Times New Roman" w:eastAsia="Yu Mincho" w:cs="Times New Roman"/>
                <w:sz w:val="20"/>
                <w:szCs w:val="20"/>
              </w:rPr>
              <w:t>RAN4 should wait for evaluation outcomes of RAN2 AI/ML for mobility (option3) and RAN4 AI/ML for beam management (option 4)</w:t>
            </w:r>
          </w:p>
          <w:p w14:paraId="30E51184">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Option 4:</w:t>
            </w:r>
            <w:r>
              <w:rPr>
                <w:rFonts w:hint="default" w:ascii="Times New Roman" w:hAnsi="Times New Roman" w:cs="Times New Roman"/>
                <w:sz w:val="20"/>
                <w:szCs w:val="20"/>
              </w:rPr>
              <w:t xml:space="preserve"> RAN4 to provide input to RAN2 to consider impact of error on measurement used for prediction on the accuracy of the predicted measurement/event.</w:t>
            </w:r>
          </w:p>
          <w:p w14:paraId="3D55E4F3">
            <w:pPr>
              <w:spacing w:after="12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Way Forward:</w:t>
            </w:r>
          </w:p>
          <w:p w14:paraId="18C8BCD6">
            <w:pPr>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Many companies are supporting Option 4. Companies are encouraged to bring proposals on what input RAN4 should provide to RAN2 to consider impact of error on measurements used for prediction on the accuracy of the predicted measurement/event.</w:t>
            </w:r>
          </w:p>
        </w:tc>
      </w:tr>
    </w:tbl>
    <w:p w14:paraId="3D90779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p w14:paraId="2E6EEAB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 xml:space="preserve">For beam management for AI/ML for NR air interface, according to RAN1 evaluation in Rel-18 SI phase, </w:t>
      </w:r>
      <w:r>
        <w:rPr>
          <w:rFonts w:hint="eastAsia" w:ascii="Times New Roman" w:hAnsi="Times New Roman" w:eastAsia="等线" w:cs="Times New Roman"/>
          <w:bCs/>
          <w:iCs/>
          <w:sz w:val="20"/>
          <w:szCs w:val="20"/>
          <w:lang w:val="en-US" w:eastAsia="zh-CN"/>
        </w:rPr>
        <w:t xml:space="preserve">there is performance difference with different assumption of measurement error. For BM-Case1 DL Tx beam prediction, when Set B is a subset (1/4) of Set A, without differentiating BB errors and RF errors modelled as truncated Gaussian distribution, according to evaluation results, considering ±2 dB relative measurement error, the beam prediction accuracy degrades 6%~10% in terms of Top-1 beam prediction accuracy comparing to the one without measurement error. With ±3 or ±4 dB relative measurement error,  the beam prediction accuracy degrades 14% (with 3dB error) ~20% (with 4dB error) in terms of Top-1 beam prediction accuracy comparing to the one without measurement error. When the relative measurement accuracy increased to ±6 dB, the beam prediction accuracy degrades 22%~30% in terms of Top-1 beam prediction accuracy comparing to the one without measurement error. In last meeting, it was also agreed that RAN4 will study the impact of measurement error for the input to inference and dataset for training(set B measurement error) on prediction accuracy. </w:t>
      </w:r>
    </w:p>
    <w:p w14:paraId="009516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For AI/ML for mobility, according to RAN2 evaluation, measurement error is not considered. Considering that </w:t>
      </w:r>
      <w:r>
        <w:rPr>
          <w:rFonts w:hint="eastAsia" w:ascii="Times New Roman" w:hAnsi="Times New Roman" w:eastAsia="等线"/>
          <w:bCs/>
          <w:iCs/>
          <w:sz w:val="20"/>
          <w:szCs w:val="20"/>
          <w:lang w:val="en-US" w:eastAsia="zh-CN"/>
        </w:rPr>
        <w:t>RRM measurement prediction, measurement event prediction and RLF/HOF prediction are performed by taking L1/L3 measurement results as input to AI/ML model, measurement error will be included in the measured results, it is necessary to evaluate the impact on prediction performance due to measurement error.</w:t>
      </w:r>
    </w:p>
    <w:p w14:paraId="25DDADEC">
      <w:pPr>
        <w:pStyle w:val="6"/>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for how to study the impact of measurement error on prediction accuracy, candidate options are listed as </w:t>
      </w:r>
      <w:r>
        <w:rPr>
          <w:rFonts w:hint="default" w:ascii="Times New Roman" w:hAnsi="Times New Roman" w:eastAsia="等线" w:cs="Times New Roman"/>
          <w:bCs/>
          <w:iCs/>
          <w:sz w:val="20"/>
          <w:szCs w:val="20"/>
          <w:lang w:val="en-US" w:eastAsia="zh-CN"/>
        </w:rPr>
        <w:t xml:space="preserve">above. </w:t>
      </w:r>
      <w:r>
        <w:rPr>
          <w:rFonts w:hint="default" w:ascii="Times New Roman" w:hAnsi="Times New Roman" w:cs="Times New Roman"/>
          <w:sz w:val="20"/>
          <w:szCs w:val="20"/>
          <w:lang w:val="en-US" w:eastAsia="zh-CN"/>
        </w:rPr>
        <w:t xml:space="preserve">According our knowledge, RAN2 current evaluation do not consider measurement error. As for the evaluation in AI for beam management, the target is for FR2 which cannot be reused for FR1. For example, the ground truth for FR1 can be the ideal RSRP while for FR2 the ground truth is the approximate as the reported RSRP measurement under high SNR, which also include residual error. Since the ground truth is different, the evalution results cannot be directly reused. </w:t>
      </w:r>
      <w:r>
        <w:rPr>
          <w:rFonts w:hint="eastAsia" w:ascii="Times New Roman" w:hAnsi="Times New Roman" w:eastAsia="等线"/>
          <w:bCs/>
          <w:iCs/>
          <w:sz w:val="20"/>
          <w:szCs w:val="20"/>
          <w:lang w:val="en-US" w:eastAsia="zh-CN"/>
        </w:rPr>
        <w:t xml:space="preserve">Normally, it is RAN4 work to study the impact of measurement error on the prediction accuracy, but it ssems not possible for RAN4 to perform the study during this SI phase, since RAN4 TU is very limited. According to the discussion in last meeting, the majority view is that RAN4 </w:t>
      </w:r>
      <w:r>
        <w:rPr>
          <w:rFonts w:hint="default" w:ascii="Times New Roman" w:hAnsi="Times New Roman" w:cs="Times New Roman"/>
          <w:sz w:val="20"/>
          <w:szCs w:val="20"/>
        </w:rPr>
        <w:t>to provide input to RAN2 to consider impact of error on measurement used for prediction on the accuracy of the predicted measurement/event.</w:t>
      </w:r>
      <w:r>
        <w:rPr>
          <w:rFonts w:hint="eastAsia" w:ascii="Times New Roman" w:hAnsi="Times New Roman" w:eastAsia="等线"/>
          <w:bCs/>
          <w:iCs/>
          <w:sz w:val="20"/>
          <w:szCs w:val="20"/>
          <w:lang w:val="en-US" w:eastAsia="zh-CN"/>
        </w:rPr>
        <w:t xml:space="preserve"> As for </w:t>
      </w:r>
      <w:r>
        <w:rPr>
          <w:rFonts w:hint="default" w:ascii="Times New Roman" w:hAnsi="Times New Roman" w:cs="Times New Roman"/>
          <w:sz w:val="20"/>
          <w:szCs w:val="20"/>
          <w:lang w:eastAsia="zh-CN"/>
        </w:rPr>
        <w:t>what input RAN4 should provide to RAN2</w:t>
      </w:r>
      <w:r>
        <w:rPr>
          <w:rFonts w:hint="eastAsia" w:ascii="Times New Roman" w:hAnsi="Times New Roman" w:cs="Times New Roman"/>
          <w:sz w:val="20"/>
          <w:szCs w:val="20"/>
          <w:lang w:val="en-US" w:eastAsia="zh-CN"/>
        </w:rPr>
        <w:t>, at least how to model measurement error (e.g. distribution of baseband error and RF error) need to be provided</w:t>
      </w:r>
      <w:r>
        <w:rPr>
          <w:rFonts w:hint="eastAsia" w:ascii="Times New Roman" w:hAnsi="Times New Roman" w:eastAsia="宋体" w:cs="Times New Roman"/>
          <w:b/>
          <w:bCs w:val="0"/>
          <w:i/>
          <w:iCs w:val="0"/>
          <w:sz w:val="20"/>
          <w:szCs w:val="20"/>
          <w:lang w:val="en-US" w:eastAsia="zh-CN"/>
        </w:rPr>
        <w:t>.</w:t>
      </w:r>
      <w:r>
        <w:rPr>
          <w:rFonts w:hint="eastAsia" w:ascii="Times New Roman" w:hAnsi="Times New Roman" w:cs="Times New Roman"/>
          <w:sz w:val="20"/>
          <w:szCs w:val="20"/>
          <w:lang w:val="en-US" w:eastAsia="zh-CN"/>
        </w:rPr>
        <w:t xml:space="preserve"> In addition,how to apply measurement errorto the model input also need to be provided. </w:t>
      </w:r>
      <w:r>
        <w:rPr>
          <w:rFonts w:hint="eastAsia" w:ascii="Times New Roman" w:hAnsi="Times New Roman" w:eastAsia="等线"/>
          <w:bCs/>
          <w:iCs/>
          <w:sz w:val="20"/>
          <w:szCs w:val="20"/>
          <w:lang w:val="en-US" w:eastAsia="zh-CN"/>
        </w:rPr>
        <w:t xml:space="preserve">  </w:t>
      </w:r>
    </w:p>
    <w:p w14:paraId="7BED698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if it is agreed that </w:t>
      </w:r>
      <w:r>
        <w:rPr>
          <w:rFonts w:hint="default" w:ascii="Times New Roman" w:hAnsi="Times New Roman" w:cs="Times New Roman"/>
          <w:b/>
          <w:bCs w:val="0"/>
          <w:i/>
          <w:iCs w:val="0"/>
          <w:sz w:val="20"/>
          <w:szCs w:val="20"/>
        </w:rPr>
        <w:t>RAN4 to provide input to RAN2 to consider impact of error on measurement used for prediction on the accuracy of the predicted measurement/event</w:t>
      </w:r>
      <w:r>
        <w:rPr>
          <w:rFonts w:hint="eastAsia" w:ascii="Times New Roman" w:hAnsi="Times New Roman" w:cs="Times New Roman"/>
          <w:b/>
          <w:bCs w:val="0"/>
          <w:i/>
          <w:iCs w:val="0"/>
          <w:sz w:val="20"/>
          <w:szCs w:val="20"/>
          <w:lang w:val="en-US" w:eastAsia="zh-CN"/>
        </w:rPr>
        <w:t>, at least how to model measurement error (e.g. distribution of baseband/RF error) need to be provided to RAN2</w:t>
      </w:r>
      <w:r>
        <w:rPr>
          <w:rFonts w:hint="eastAsia" w:ascii="Times New Roman" w:hAnsi="Times New Roman" w:eastAsia="宋体" w:cs="Times New Roman"/>
          <w:b/>
          <w:bCs w:val="0"/>
          <w:i/>
          <w:iCs w:val="0"/>
          <w:sz w:val="20"/>
          <w:szCs w:val="20"/>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C783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560700D">
            <w:pPr>
              <w:spacing w:after="120"/>
              <w:rPr>
                <w:rFonts w:hint="default" w:ascii="Times New Roman" w:hAnsi="Times New Roman" w:eastAsia="宋体" w:cs="Times New Roman"/>
                <w:color w:val="0070C0"/>
                <w:sz w:val="20"/>
                <w:szCs w:val="20"/>
                <w:lang w:eastAsia="zh-CN"/>
              </w:rPr>
            </w:pPr>
            <w:r>
              <w:rPr>
                <w:rFonts w:hint="default" w:ascii="Times New Roman" w:hAnsi="Times New Roman" w:cs="Times New Roman"/>
                <w:b/>
                <w:sz w:val="20"/>
                <w:szCs w:val="20"/>
                <w:u w:val="single"/>
              </w:rPr>
              <w:t>Issue 2-1-6: Impact on Core requirements</w:t>
            </w:r>
          </w:p>
          <w:p w14:paraId="2B99EF00">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4B72AA71">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1 (Ericsson): </w:t>
            </w:r>
          </w:p>
          <w:p w14:paraId="090189EB">
            <w:pPr>
              <w:pStyle w:val="12"/>
              <w:numPr>
                <w:ilvl w:val="2"/>
                <w:numId w:val="4"/>
              </w:numPr>
              <w:spacing w:before="120" w:after="120"/>
              <w:ind w:firstLineChars="0"/>
              <w:rPr>
                <w:rFonts w:hint="default" w:ascii="Times New Roman" w:hAnsi="Times New Roman" w:eastAsia="Yu Mincho" w:cs="Times New Roman"/>
                <w:sz w:val="20"/>
                <w:szCs w:val="20"/>
              </w:rPr>
            </w:pPr>
            <w:bookmarkStart w:id="9" w:name="_Hlk179400618"/>
            <w:r>
              <w:rPr>
                <w:rFonts w:hint="default" w:ascii="Times New Roman" w:hAnsi="Times New Roman" w:eastAsia="Yu Mincho" w:cs="Times New Roman"/>
                <w:sz w:val="20"/>
                <w:szCs w:val="20"/>
              </w:rPr>
              <w:t xml:space="preserve">RAN4 to evaluate impact on core requirement for frequency domain prediction by at least considering the time taken by the UE to perform measurements on the measured cells </w:t>
            </w:r>
          </w:p>
          <w:p w14:paraId="1B14C02F">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(Nokia): For RAN4#113 meeting, RAN4 to wait for further progress from RAN2 mobility (Option#3) and RAN4 AI/ML for beam management for studying the impact on core requirements (Option#4).</w:t>
            </w:r>
          </w:p>
          <w:p w14:paraId="061D8D51">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(CATT):</w:t>
            </w:r>
          </w:p>
          <w:p w14:paraId="36C2FF6B">
            <w:pPr>
              <w:pStyle w:val="12"/>
              <w:numPr>
                <w:ilvl w:val="2"/>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prioritizes the discussion on performance metrics and defers the discussions on the following aspects in SI phase until RAN2’s design on AI/ML mobility is clear:</w:t>
            </w:r>
          </w:p>
          <w:p w14:paraId="71CD7F0A">
            <w:pPr>
              <w:pStyle w:val="12"/>
              <w:numPr>
                <w:ilvl w:val="3"/>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Impacts of measurement errors</w:t>
            </w:r>
          </w:p>
          <w:p w14:paraId="738F944C">
            <w:pPr>
              <w:pStyle w:val="12"/>
              <w:numPr>
                <w:ilvl w:val="3"/>
                <w:numId w:val="4"/>
              </w:numPr>
              <w:spacing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Impacts on core requirements</w:t>
            </w:r>
          </w:p>
          <w:p w14:paraId="66391694">
            <w:pPr>
              <w:pStyle w:val="12"/>
              <w:numPr>
                <w:ilvl w:val="3"/>
                <w:numId w:val="4"/>
              </w:numPr>
              <w:overflowPunct/>
              <w:autoSpaceDE/>
              <w:autoSpaceDN/>
              <w:adjustRightInd/>
              <w:spacing w:after="120"/>
              <w:ind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Yu Mincho" w:cs="Times New Roman"/>
                <w:sz w:val="20"/>
                <w:szCs w:val="20"/>
              </w:rPr>
              <w:t>LCM related requirements</w:t>
            </w:r>
          </w:p>
          <w:bookmarkEnd w:id="9"/>
          <w:p w14:paraId="3724060E">
            <w:pPr>
              <w:pStyle w:val="12"/>
              <w:numPr>
                <w:ilvl w:val="1"/>
                <w:numId w:val="4"/>
              </w:numPr>
              <w:overflowPunct/>
              <w:autoSpaceDE/>
              <w:autoSpaceDN/>
              <w:adjustRightInd/>
              <w:spacing w:before="120" w:after="120"/>
              <w:ind w:firstLineChars="0"/>
              <w:textAlignment w:val="auto"/>
              <w:rPr>
                <w:rFonts w:hint="default" w:ascii="Times New Roman" w:hAnsi="Times New Roman" w:eastAsia="Yu Mincho" w:cs="Times New Roman"/>
                <w:sz w:val="20"/>
                <w:szCs w:val="20"/>
                <w:lang w:eastAsia="zh-CN"/>
              </w:rPr>
            </w:pPr>
            <w:r>
              <w:rPr>
                <w:rFonts w:hint="default" w:ascii="Times New Roman" w:hAnsi="Times New Roman" w:eastAsia="Yu Mincho" w:cs="Times New Roman"/>
                <w:sz w:val="20"/>
                <w:szCs w:val="20"/>
                <w:lang w:eastAsia="zh-CN"/>
              </w:rPr>
              <w:t>Proposal 4 (CMCC):</w:t>
            </w:r>
          </w:p>
          <w:p w14:paraId="7C091C33">
            <w:pPr>
              <w:numPr>
                <w:ilvl w:val="0"/>
                <w:numId w:val="10"/>
              </w:numPr>
              <w:spacing w:line="240" w:lineRule="exact"/>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for RRM measurement prediction, the measurement delay requirements need to be defined/updated</w:t>
            </w:r>
          </w:p>
          <w:p w14:paraId="048BDDEC">
            <w:pPr>
              <w:numPr>
                <w:ilvl w:val="0"/>
                <w:numId w:val="11"/>
              </w:numPr>
              <w:spacing w:line="240" w:lineRule="exact"/>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For intra-frequency temporal domain prediction, UE will skip some measurement occasions, which means that only subset of measurement occasions are measured so that SMTC and/or MGRP cannot be directly used in the measurement delay requirements as legacy</w:t>
            </w:r>
          </w:p>
          <w:p w14:paraId="04CD50EC">
            <w:pPr>
              <w:numPr>
                <w:ilvl w:val="0"/>
                <w:numId w:val="11"/>
              </w:numPr>
              <w:spacing w:line="240" w:lineRule="exact"/>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For inter-frequency inter-cell frequency domain prediction, not all configured MOs need to be measuerd, which means that only the actually measured frequency layers are considered in the measurement delay requirements</w:t>
            </w:r>
          </w:p>
          <w:p w14:paraId="53A62B53">
            <w:pPr>
              <w:numPr>
                <w:ilvl w:val="0"/>
                <w:numId w:val="10"/>
              </w:numPr>
              <w:spacing w:line="240" w:lineRule="exact"/>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it is proposed to discuss whether to introduce RAN4 requirements about MRRT and MRRS.</w:t>
            </w:r>
          </w:p>
          <w:p w14:paraId="275A2DDA">
            <w:pPr>
              <w:pStyle w:val="12"/>
              <w:numPr>
                <w:ilvl w:val="1"/>
                <w:numId w:val="4"/>
              </w:numPr>
              <w:overflowPunct/>
              <w:autoSpaceDE/>
              <w:autoSpaceDN/>
              <w:adjustRightInd/>
              <w:spacing w:before="120" w:after="120"/>
              <w:ind w:firstLineChars="0"/>
              <w:textAlignment w:val="auto"/>
              <w:rPr>
                <w:rFonts w:hint="default" w:ascii="Times New Roman" w:hAnsi="Times New Roman" w:eastAsia="Yu Mincho" w:cs="Times New Roman"/>
                <w:sz w:val="20"/>
                <w:szCs w:val="20"/>
                <w:lang w:eastAsia="zh-CN"/>
              </w:rPr>
            </w:pPr>
            <w:r>
              <w:rPr>
                <w:rFonts w:hint="default" w:ascii="Times New Roman" w:hAnsi="Times New Roman" w:eastAsia="Yu Mincho" w:cs="Times New Roman"/>
                <w:sz w:val="20"/>
                <w:szCs w:val="20"/>
                <w:lang w:eastAsia="zh-CN"/>
              </w:rPr>
              <w:t>Proposal 5 (Huawei):</w:t>
            </w:r>
          </w:p>
          <w:p w14:paraId="499DC9F4">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intra-frequency Intra-cell temporal domain prediction case A, prediction window length (or called as prediction evaluation period) may need to be discussed and specified.</w:t>
            </w:r>
          </w:p>
          <w:p w14:paraId="455981FD">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For intra-frequency Intra-cell temporal domain prediction case B, RSRP prediction accuracy under the side condition of MRRT with limited PW length may need to be specified. </w:t>
            </w:r>
          </w:p>
          <w:p w14:paraId="15DC936A">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inter-frequency inter-cell frequency domain prediction, the side condition of frequency prediction (e.g., EPRE difference) and RSRP prediction accuracy may need to be specified.</w:t>
            </w:r>
          </w:p>
          <w:p w14:paraId="4A100E7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The processing time of inference function may need to be considered in measurement reporting delay.</w:t>
            </w:r>
          </w:p>
          <w:p w14:paraId="6EDF2757">
            <w:pPr>
              <w:pStyle w:val="12"/>
              <w:numPr>
                <w:ilvl w:val="1"/>
                <w:numId w:val="4"/>
              </w:numPr>
              <w:spacing w:after="120"/>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Proposal 6 (Qualcomm):</w:t>
            </w:r>
          </w:p>
          <w:p w14:paraId="01F51544">
            <w:pPr>
              <w:pStyle w:val="12"/>
              <w:numPr>
                <w:ilvl w:val="2"/>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RAN4 to review the existing RRM requirement and outline the identified potential impacts at a high level, e.g.</w:t>
            </w:r>
          </w:p>
          <w:p w14:paraId="323D9178">
            <w:pPr>
              <w:pStyle w:val="12"/>
              <w:numPr>
                <w:ilvl w:val="3"/>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Common aspects:</w:t>
            </w:r>
          </w:p>
          <w:p w14:paraId="7F02722C">
            <w:pPr>
              <w:pStyle w:val="12"/>
              <w:numPr>
                <w:ilvl w:val="4"/>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Adjustment of the length of observation and prediction windows depending on UE in DRX state and/or cycle, serving cell RSRP, etc.</w:t>
            </w:r>
          </w:p>
          <w:p w14:paraId="1BE30111">
            <w:pPr>
              <w:pStyle w:val="12"/>
              <w:numPr>
                <w:ilvl w:val="4"/>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Measurement and scheduling restrictions in the prediction window.</w:t>
            </w:r>
          </w:p>
          <w:p w14:paraId="6EAC9F0C">
            <w:pPr>
              <w:pStyle w:val="12"/>
              <w:numPr>
                <w:ilvl w:val="4"/>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Definition of known vs. unknown target cells for mobility and/or PSCell/SCell addition and activation.</w:t>
            </w:r>
          </w:p>
          <w:p w14:paraId="6F5E8033">
            <w:pPr>
              <w:pStyle w:val="12"/>
              <w:numPr>
                <w:ilvl w:val="4"/>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Side conditions such as requirement applicability rules.</w:t>
            </w:r>
          </w:p>
          <w:p w14:paraId="176913A6">
            <w:pPr>
              <w:pStyle w:val="12"/>
              <w:numPr>
                <w:ilvl w:val="4"/>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Overall budget in terms of mandatory capability on the number of cells and frequency layers for actual measurements and inference-based measurements.</w:t>
            </w:r>
          </w:p>
          <w:p w14:paraId="3523892B">
            <w:pPr>
              <w:pStyle w:val="12"/>
              <w:numPr>
                <w:ilvl w:val="3"/>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Scenario 2: FR1 to FR1 intra-frequency temporal domain case B, Intra-cell</w:t>
            </w:r>
          </w:p>
          <w:p w14:paraId="2F520380">
            <w:pPr>
              <w:pStyle w:val="12"/>
              <w:numPr>
                <w:ilvl w:val="4"/>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Uniform measurement approach for cells in the same frequency layer</w:t>
            </w:r>
          </w:p>
          <w:p w14:paraId="785D06E9">
            <w:pPr>
              <w:pStyle w:val="12"/>
              <w:numPr>
                <w:ilvl w:val="3"/>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Scenario 3: FR1 to FR1 inter-frequency, Inter-cell</w:t>
            </w:r>
          </w:p>
          <w:p w14:paraId="23DF0871">
            <w:pPr>
              <w:pStyle w:val="12"/>
              <w:numPr>
                <w:ilvl w:val="4"/>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CSSF</w:t>
            </w:r>
          </w:p>
          <w:p w14:paraId="3E538AD4">
            <w:pPr>
              <w:pStyle w:val="12"/>
              <w:numPr>
                <w:ilvl w:val="4"/>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MG</w:t>
            </w:r>
          </w:p>
          <w:p w14:paraId="2601AE33">
            <w:pPr>
              <w:pStyle w:val="12"/>
              <w:numPr>
                <w:ilvl w:val="3"/>
                <w:numId w:val="4"/>
              </w:numPr>
              <w:spacing w:after="120"/>
              <w:ind w:firstLineChars="0"/>
              <w:rPr>
                <w:rFonts w:hint="default" w:ascii="Times New Roman" w:hAnsi="Times New Roman" w:eastAsia="等线" w:cs="Times New Roman"/>
                <w:bCs/>
                <w:iCs/>
                <w:sz w:val="20"/>
                <w:szCs w:val="20"/>
                <w:lang w:eastAsia="zh-CN"/>
              </w:rPr>
            </w:pPr>
            <w:r>
              <w:rPr>
                <w:rFonts w:hint="default" w:ascii="Times New Roman" w:hAnsi="Times New Roman" w:eastAsia="等线" w:cs="Times New Roman"/>
                <w:bCs/>
                <w:iCs/>
                <w:sz w:val="20"/>
                <w:szCs w:val="20"/>
                <w:lang w:eastAsia="zh-CN"/>
              </w:rPr>
              <w:t>Scenario 4: FR2 to FR2 intra-frequency temporal domain case A, Intra-cell</w:t>
            </w:r>
          </w:p>
          <w:p w14:paraId="644ACE22">
            <w:pPr>
              <w:pStyle w:val="12"/>
              <w:numPr>
                <w:ilvl w:val="4"/>
                <w:numId w:val="4"/>
              </w:numPr>
              <w:spacing w:after="120"/>
              <w:ind w:firstLineChars="0"/>
              <w:rPr>
                <w:rFonts w:hint="default" w:ascii="Times New Roman" w:hAnsi="Times New Roman" w:eastAsia="宋体" w:cs="Times New Roman"/>
                <w:b/>
                <w:bCs w:val="0"/>
                <w:i/>
                <w:iCs w:val="0"/>
                <w:sz w:val="20"/>
                <w:szCs w:val="20"/>
                <w:vertAlign w:val="baseline"/>
                <w:lang w:val="en-US" w:eastAsia="zh-CN"/>
              </w:rPr>
            </w:pPr>
            <w:r>
              <w:rPr>
                <w:rFonts w:hint="default" w:ascii="Times New Roman" w:hAnsi="Times New Roman" w:eastAsia="等线" w:cs="Times New Roman"/>
                <w:bCs/>
                <w:iCs/>
                <w:sz w:val="20"/>
                <w:szCs w:val="20"/>
                <w:lang w:eastAsia="zh-CN"/>
              </w:rPr>
              <w:t>Uniform measurement approach for cells in the same frequency layer</w:t>
            </w:r>
          </w:p>
        </w:tc>
      </w:tr>
    </w:tbl>
    <w:p w14:paraId="6257CD4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b/>
          <w:bCs w:val="0"/>
          <w:i/>
          <w:iCs w:val="0"/>
          <w:sz w:val="20"/>
          <w:szCs w:val="20"/>
          <w:lang w:val="en-US" w:eastAsia="zh-CN"/>
        </w:rPr>
      </w:pPr>
    </w:p>
    <w:p w14:paraId="703B604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RAN2 agreed the KPIs about measurement reduction rate, which is defined in the temporal domain (called MRRT) by assuming same length of measurement time instances and spatial domain respectively(called MRRS). </w:t>
      </w:r>
    </w:p>
    <w:p w14:paraId="0F248F6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MRRT = skipped measurement time instances / total measurement time instances</w:t>
      </w:r>
    </w:p>
    <w:p w14:paraId="13A441E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MRRS = skipped beams to be measured/ total beams to be measured</w:t>
      </w:r>
    </w:p>
    <w:p w14:paraId="7B33641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legacy, there is no RAN4 requirements on measurement reduction, whether to introduce related requirements for AI/ML based mobility can be further discussed.</w:t>
      </w:r>
    </w:p>
    <w:p w14:paraId="10A406C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it is proposed to discuss whether to introduce RAN4 requirements about MRRT and MRRS.</w:t>
      </w:r>
    </w:p>
    <w:p w14:paraId="098FB08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consideration is that the measurement delay requirements may also need to be newly defined for some scenarios. Scenario 3 is FR1 to FR1 inter-frequency inter-cell prediction, for example, prediction from low-frequency cell to high-frequency cell, which means that not all configured MOs need to be measuerd. The legacy measurement delay is scaled with the number of MOs, which need to be updated to only consider the actually measured frequency layers. As for the intra-frequency temporal domain prediction, e.g. case B, the lagacy measurement delay also need to be updated. In legacy, SMTC or MGRP is in use in the measurement delay requirements, while for tempory domain prediction, UE only measure subset of SMTC/MGRP, and predict the results of other measurement occasions. </w:t>
      </w:r>
    </w:p>
    <w:p w14:paraId="52B4549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for RRM measurement prediction, the measurement delay requirements need to be defined/updated</w:t>
      </w:r>
    </w:p>
    <w:p w14:paraId="6AD742E6">
      <w:pPr>
        <w:keepNext w:val="0"/>
        <w:keepLines w:val="0"/>
        <w:pageBreakBefore w:val="0"/>
        <w:widowControl w:val="0"/>
        <w:numPr>
          <w:ilvl w:val="0"/>
          <w:numId w:val="12"/>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570326A2">
      <w:pPr>
        <w:keepNext w:val="0"/>
        <w:keepLines w:val="0"/>
        <w:pageBreakBefore w:val="0"/>
        <w:widowControl w:val="0"/>
        <w:numPr>
          <w:ilvl w:val="0"/>
          <w:numId w:val="12"/>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measuerd, which means that only the actually measured frequency layers are considered in the measurement delay requirements</w:t>
      </w:r>
    </w:p>
    <w:p w14:paraId="75DB2688">
      <w:pPr>
        <w:spacing w:after="180" w:line="240" w:lineRule="exact"/>
        <w:rPr>
          <w:rFonts w:hint="default" w:ascii="Times New Roman" w:hAnsi="Times New Roman" w:eastAsia="等线"/>
          <w:bCs/>
          <w:iCs/>
          <w:sz w:val="20"/>
          <w:szCs w:val="20"/>
          <w:lang w:val="en-US" w:eastAsia="zh-CN"/>
        </w:rPr>
      </w:pPr>
    </w:p>
    <w:bookmarkEnd w:id="7"/>
    <w:bookmarkEnd w:id="8"/>
    <w:p w14:paraId="2F63ED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lang w:val="en-US" w:eastAsia="zh-CN"/>
        </w:rPr>
        <w:t xml:space="preserve">impacts on RAN4 requirements for AI/ML for </w:t>
      </w:r>
      <w:r>
        <w:rPr>
          <w:rFonts w:hint="eastAsia" w:ascii="Times New Roman" w:hAnsi="Times New Roman"/>
          <w:sz w:val="20"/>
          <w:szCs w:val="20"/>
          <w:lang w:val="en-US" w:eastAsia="zh-CN"/>
        </w:rPr>
        <w:t>mobility</w:t>
      </w:r>
      <w:r>
        <w:rPr>
          <w:rFonts w:hint="eastAsia" w:ascii="Times New Roman" w:hAnsi="Times New Roman"/>
          <w:sz w:val="20"/>
          <w:szCs w:val="20"/>
        </w:rPr>
        <w:t>. The proposals are:</w:t>
      </w:r>
    </w:p>
    <w:p w14:paraId="33F3AF9B">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1: </w:t>
      </w:r>
      <w:r>
        <w:rPr>
          <w:rFonts w:hint="default" w:ascii="Times New Roman" w:hAnsi="Times New Roman" w:eastAsia="Yu Mincho" w:cs="Times New Roman"/>
          <w:b/>
          <w:bCs w:val="0"/>
          <w:i/>
          <w:iCs w:val="0"/>
          <w:sz w:val="20"/>
          <w:szCs w:val="20"/>
          <w:highlight w:val="none"/>
        </w:rPr>
        <w:t>Absolute L3 Predicted RSRP Accuracy = reported predicted L3-RSRP – ground truth of L3-RSRP</w:t>
      </w:r>
      <w:r>
        <w:rPr>
          <w:rFonts w:hint="eastAsia" w:ascii="Times New Roman" w:hAnsi="Times New Roman" w:eastAsia="等线"/>
          <w:b/>
          <w:bCs w:val="0"/>
          <w:i/>
          <w:iCs w:val="0"/>
          <w:sz w:val="20"/>
          <w:szCs w:val="20"/>
          <w:highlight w:val="none"/>
          <w:lang w:val="en-US" w:eastAsia="zh-CN"/>
        </w:rPr>
        <w:t xml:space="preserve"> </w:t>
      </w:r>
    </w:p>
    <w:p w14:paraId="578CADAE">
      <w:pPr>
        <w:numPr>
          <w:ilvl w:val="0"/>
          <w:numId w:val="5"/>
        </w:numPr>
        <w:tabs>
          <w:tab w:val="left" w:pos="420"/>
          <w:tab w:val="clear" w:pos="0"/>
        </w:tabs>
        <w:spacing w:after="180" w:line="240" w:lineRule="exact"/>
        <w:ind w:left="840" w:leftChars="0" w:hanging="420" w:firstLineChars="0"/>
        <w:rPr>
          <w:rFonts w:hint="eastAsia" w:ascii="Times New Roman" w:hAnsi="Times New Roman" w:eastAsia="宋体" w:cs="Times New Roman"/>
          <w:b/>
          <w:bCs w:val="0"/>
          <w:i/>
          <w:iCs w:val="0"/>
          <w:sz w:val="20"/>
          <w:szCs w:val="20"/>
          <w:highlight w:val="none"/>
          <w:lang w:val="en-US" w:eastAsia="zh-CN"/>
        </w:rPr>
      </w:pPr>
      <w:r>
        <w:rPr>
          <w:rFonts w:hint="eastAsia" w:ascii="Times New Roman" w:hAnsi="Times New Roman" w:eastAsia="宋体" w:cs="Times New Roman"/>
          <w:b/>
          <w:bCs w:val="0"/>
          <w:i/>
          <w:iCs w:val="0"/>
          <w:sz w:val="20"/>
          <w:szCs w:val="20"/>
          <w:highlight w:val="none"/>
          <w:lang w:val="en-US" w:eastAsia="zh-CN"/>
        </w:rPr>
        <w:t xml:space="preserve">For FR2, </w:t>
      </w:r>
      <w:r>
        <w:rPr>
          <w:rFonts w:hint="default" w:ascii="Times New Roman" w:hAnsi="Times New Roman" w:eastAsia="Yu Mincho" w:cs="Times New Roman"/>
          <w:b/>
          <w:bCs w:val="0"/>
          <w:i/>
          <w:iCs w:val="0"/>
          <w:sz w:val="20"/>
          <w:szCs w:val="20"/>
          <w:highlight w:val="none"/>
        </w:rPr>
        <w:t>ground truth of L3-RSRP</w:t>
      </w:r>
      <w:r>
        <w:rPr>
          <w:rFonts w:hint="default" w:ascii="Times New Roman" w:hAnsi="Times New Roman" w:eastAsia="Yu Mincho" w:cs="Times New Roman"/>
          <w:b/>
          <w:bCs w:val="0"/>
          <w:i/>
          <w:iCs w:val="0"/>
          <w:sz w:val="20"/>
          <w:szCs w:val="20"/>
          <w:highlight w:val="none"/>
          <w:lang w:eastAsia="ja-JP"/>
        </w:rPr>
        <w:t xml:space="preserve"> is the approximate as the reported RSRP measurement under </w:t>
      </w:r>
      <w:r>
        <w:rPr>
          <w:rFonts w:hint="eastAsia" w:ascii="Times New Roman" w:hAnsi="Times New Roman" w:eastAsia="宋体" w:cs="Times New Roman"/>
          <w:b/>
          <w:bCs w:val="0"/>
          <w:i/>
          <w:iCs w:val="0"/>
          <w:sz w:val="20"/>
          <w:szCs w:val="20"/>
          <w:highlight w:val="none"/>
          <w:lang w:val="en-US" w:eastAsia="zh-CN"/>
        </w:rPr>
        <w:t>a</w:t>
      </w:r>
      <w:r>
        <w:rPr>
          <w:rFonts w:hint="default" w:ascii="Times New Roman" w:hAnsi="Times New Roman" w:eastAsia="Yu Mincho" w:cs="Times New Roman"/>
          <w:b/>
          <w:bCs w:val="0"/>
          <w:i/>
          <w:iCs w:val="0"/>
          <w:sz w:val="20"/>
          <w:szCs w:val="20"/>
          <w:highlight w:val="none"/>
          <w:lang w:eastAsia="ja-JP"/>
        </w:rPr>
        <w:t xml:space="preserve"> certain SNR</w:t>
      </w:r>
      <w:r>
        <w:rPr>
          <w:rFonts w:hint="eastAsia" w:ascii="Times New Roman" w:hAnsi="Times New Roman" w:eastAsia="宋体" w:cs="Times New Roman"/>
          <w:b/>
          <w:bCs w:val="0"/>
          <w:i/>
          <w:iCs w:val="0"/>
          <w:sz w:val="20"/>
          <w:szCs w:val="20"/>
          <w:highlight w:val="none"/>
          <w:lang w:val="en-US" w:eastAsia="zh-CN"/>
        </w:rPr>
        <w:t xml:space="preserve"> (the </w:t>
      </w:r>
      <w:r>
        <w:rPr>
          <w:rFonts w:hint="eastAsia" w:ascii="Times New Roman" w:hAnsi="Times New Roman" w:eastAsia="等线"/>
          <w:b/>
          <w:bCs w:val="0"/>
          <w:i/>
          <w:iCs w:val="0"/>
          <w:sz w:val="20"/>
          <w:szCs w:val="20"/>
          <w:highlight w:val="none"/>
          <w:lang w:val="en-US" w:eastAsia="zh-CN"/>
        </w:rPr>
        <w:t>SNR is high enough for sufficient accuracy of reported RSRP</w:t>
      </w:r>
      <w:r>
        <w:rPr>
          <w:rFonts w:hint="eastAsia" w:ascii="Times New Roman" w:hAnsi="Times New Roman" w:eastAsia="宋体" w:cs="Times New Roman"/>
          <w:b/>
          <w:bCs w:val="0"/>
          <w:i/>
          <w:iCs w:val="0"/>
          <w:sz w:val="20"/>
          <w:szCs w:val="20"/>
          <w:highlight w:val="none"/>
          <w:lang w:val="en-US" w:eastAsia="zh-CN"/>
        </w:rPr>
        <w:t>)</w:t>
      </w:r>
    </w:p>
    <w:p w14:paraId="4752A276">
      <w:pPr>
        <w:numPr>
          <w:ilvl w:val="0"/>
          <w:numId w:val="5"/>
        </w:numPr>
        <w:tabs>
          <w:tab w:val="left" w:pos="420"/>
          <w:tab w:val="clear" w:pos="0"/>
        </w:tabs>
        <w:spacing w:after="180" w:line="240" w:lineRule="exact"/>
        <w:ind w:left="840" w:leftChars="0" w:hanging="420" w:firstLineChars="0"/>
        <w:rPr>
          <w:rFonts w:hint="eastAsia" w:ascii="Times New Roman" w:hAnsi="Times New Roman" w:cs="Times New Roman"/>
          <w:b/>
          <w:bCs w:val="0"/>
          <w:i/>
          <w:iCs w:val="0"/>
          <w:sz w:val="20"/>
          <w:szCs w:val="20"/>
          <w:highlight w:val="none"/>
          <w:lang w:val="en-US" w:eastAsia="zh-CN"/>
        </w:rPr>
      </w:pPr>
      <w:r>
        <w:rPr>
          <w:rFonts w:hint="eastAsia" w:ascii="Times New Roman" w:hAnsi="Times New Roman" w:eastAsia="宋体" w:cs="Times New Roman"/>
          <w:b/>
          <w:bCs w:val="0"/>
          <w:i/>
          <w:iCs w:val="0"/>
          <w:sz w:val="20"/>
          <w:szCs w:val="20"/>
          <w:highlight w:val="none"/>
          <w:lang w:val="en-US" w:eastAsia="zh-CN"/>
        </w:rPr>
        <w:t xml:space="preserve">For FR1, </w:t>
      </w:r>
      <w:r>
        <w:rPr>
          <w:rFonts w:hint="default" w:ascii="Times New Roman" w:hAnsi="Times New Roman" w:eastAsia="Yu Mincho" w:cs="Times New Roman"/>
          <w:b/>
          <w:bCs w:val="0"/>
          <w:i/>
          <w:iCs w:val="0"/>
          <w:sz w:val="20"/>
          <w:szCs w:val="20"/>
          <w:highlight w:val="none"/>
        </w:rPr>
        <w:t>ground truth of L3-RSRP</w:t>
      </w:r>
      <w:r>
        <w:rPr>
          <w:rFonts w:hint="default" w:ascii="Times New Roman" w:hAnsi="Times New Roman" w:eastAsia="宋体" w:cs="Times New Roman"/>
          <w:b/>
          <w:bCs w:val="0"/>
          <w:i/>
          <w:iCs w:val="0"/>
          <w:sz w:val="20"/>
          <w:szCs w:val="20"/>
          <w:highlight w:val="none"/>
          <w:lang w:val="en-US" w:eastAsia="ja-JP"/>
        </w:rPr>
        <w:t xml:space="preserve"> is the</w:t>
      </w:r>
      <w:r>
        <w:rPr>
          <w:rFonts w:hint="eastAsia" w:ascii="Times New Roman" w:hAnsi="Times New Roman" w:eastAsia="宋体" w:cs="Times New Roman"/>
          <w:b/>
          <w:bCs w:val="0"/>
          <w:i/>
          <w:iCs w:val="0"/>
          <w:sz w:val="20"/>
          <w:szCs w:val="20"/>
          <w:highlight w:val="none"/>
          <w:lang w:val="en-US" w:eastAsia="zh-CN"/>
        </w:rPr>
        <w:t xml:space="preserve"> transmitted power</w:t>
      </w:r>
      <w:r>
        <w:rPr>
          <w:rFonts w:hint="eastAsia" w:ascii="Times New Roman" w:hAnsi="Times New Roman" w:cs="Times New Roman"/>
          <w:b/>
          <w:bCs w:val="0"/>
          <w:i/>
          <w:iCs w:val="0"/>
          <w:sz w:val="20"/>
          <w:szCs w:val="20"/>
          <w:highlight w:val="none"/>
          <w:lang w:val="en-US" w:eastAsia="zh-CN"/>
        </w:rPr>
        <w:t xml:space="preserve">, which is obtained as the legacy way of conducted test </w:t>
      </w:r>
      <w:r>
        <w:rPr>
          <w:rFonts w:hint="eastAsia" w:ascii="Times New Roman" w:hAnsi="Times New Roman" w:eastAsia="宋体" w:cs="Times New Roman"/>
          <w:b/>
          <w:bCs w:val="0"/>
          <w:i/>
          <w:iCs w:val="0"/>
          <w:sz w:val="20"/>
          <w:szCs w:val="20"/>
          <w:highlight w:val="none"/>
          <w:lang w:val="en-US" w:eastAsia="zh-CN"/>
        </w:rPr>
        <w:t xml:space="preserve"> </w:t>
      </w:r>
    </w:p>
    <w:p w14:paraId="52E5CD3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except L3 cell level RSRP (Point C) prediction, it is proposed that RAN4 to consider L1 beam-level (Point A</w:t>
      </w:r>
      <w:r>
        <w:rPr>
          <w:rFonts w:hint="eastAsia" w:ascii="Times New Roman" w:hAnsi="Times New Roman" w:eastAsia="等线"/>
          <w:b/>
          <w:bCs w:val="0"/>
          <w:i/>
          <w:iCs w:val="0"/>
          <w:sz w:val="20"/>
          <w:szCs w:val="20"/>
          <w:vertAlign w:val="superscript"/>
          <w:lang w:val="en-US" w:eastAsia="zh-CN"/>
        </w:rPr>
        <w:t>1</w:t>
      </w:r>
      <w:r>
        <w:rPr>
          <w:rFonts w:hint="eastAsia" w:ascii="Times New Roman" w:hAnsi="Times New Roman" w:eastAsia="等线"/>
          <w:b/>
          <w:bCs w:val="0"/>
          <w:i/>
          <w:iCs w:val="0"/>
          <w:sz w:val="20"/>
          <w:szCs w:val="20"/>
          <w:lang w:val="en-US" w:eastAsia="zh-CN"/>
        </w:rPr>
        <w:t>). And it is proposed that L3 beam-level (Point E) can be deprioritized based on RAN2 agreements.</w:t>
      </w:r>
    </w:p>
    <w:p w14:paraId="63DB160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if it is agreed that </w:t>
      </w:r>
      <w:r>
        <w:rPr>
          <w:rFonts w:hint="default" w:ascii="Times New Roman" w:hAnsi="Times New Roman" w:cs="Times New Roman"/>
          <w:b/>
          <w:bCs w:val="0"/>
          <w:i/>
          <w:iCs w:val="0"/>
          <w:sz w:val="20"/>
          <w:szCs w:val="20"/>
        </w:rPr>
        <w:t>RAN4 to provide input to RAN2 to consider impact of error on measurement used for prediction on the accuracy of the predicted measurement/event</w:t>
      </w:r>
      <w:r>
        <w:rPr>
          <w:rFonts w:hint="eastAsia" w:ascii="Times New Roman" w:hAnsi="Times New Roman" w:cs="Times New Roman"/>
          <w:b/>
          <w:bCs w:val="0"/>
          <w:i/>
          <w:iCs w:val="0"/>
          <w:sz w:val="20"/>
          <w:szCs w:val="20"/>
          <w:lang w:val="en-US" w:eastAsia="zh-CN"/>
        </w:rPr>
        <w:t>, at least how to model measurement error (e.g. distribution of baseband/RF error) need to be provided to RAN2</w:t>
      </w:r>
      <w:r>
        <w:rPr>
          <w:rFonts w:hint="eastAsia" w:ascii="Times New Roman" w:hAnsi="Times New Roman" w:eastAsia="宋体" w:cs="Times New Roman"/>
          <w:b/>
          <w:bCs w:val="0"/>
          <w:i/>
          <w:iCs w:val="0"/>
          <w:sz w:val="20"/>
          <w:szCs w:val="20"/>
          <w:lang w:val="en-US" w:eastAsia="zh-CN"/>
        </w:rPr>
        <w:t>.</w:t>
      </w:r>
    </w:p>
    <w:p w14:paraId="0743BFA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it is proposed to discuss whether to introduce RAN4 requirements about MRRT and MRRS.</w:t>
      </w:r>
    </w:p>
    <w:p w14:paraId="2A93118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for RRM measurement prediction, the measurement delay requirements need to be defined/updated</w:t>
      </w:r>
    </w:p>
    <w:p w14:paraId="14E05599">
      <w:pPr>
        <w:keepNext w:val="0"/>
        <w:keepLines w:val="0"/>
        <w:pageBreakBefore w:val="0"/>
        <w:widowControl w:val="0"/>
        <w:numPr>
          <w:ilvl w:val="0"/>
          <w:numId w:val="12"/>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5A13C329">
      <w:pPr>
        <w:keepNext w:val="0"/>
        <w:keepLines w:val="0"/>
        <w:pageBreakBefore w:val="0"/>
        <w:widowControl w:val="0"/>
        <w:numPr>
          <w:ilvl w:val="0"/>
          <w:numId w:val="12"/>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measuerd, which means that only the actually measured frequency layers are considered in the measurement delay requirements</w:t>
      </w:r>
    </w:p>
    <w:p w14:paraId="5F08F1C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A1F4B3">
      <w:pPr>
        <w:pStyle w:val="13"/>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03C37C82">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38B2F24">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20AFE6D">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544A76EC">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0221EBB">
      <w:pPr>
        <w:pStyle w:val="13"/>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CE351"/>
    <w:multiLevelType w:val="singleLevel"/>
    <w:tmpl w:val="84BCE351"/>
    <w:lvl w:ilvl="0" w:tentative="0">
      <w:start w:val="1"/>
      <w:numFmt w:val="bullet"/>
      <w:lvlText w:val=""/>
      <w:lvlJc w:val="left"/>
      <w:pPr>
        <w:ind w:left="420" w:hanging="420"/>
      </w:pPr>
      <w:rPr>
        <w:rFonts w:hint="default" w:ascii="Wingdings" w:hAnsi="Wingdings"/>
      </w:rPr>
    </w:lvl>
  </w:abstractNum>
  <w:abstractNum w:abstractNumId="1">
    <w:nsid w:val="DDB78982"/>
    <w:multiLevelType w:val="singleLevel"/>
    <w:tmpl w:val="DDB78982"/>
    <w:lvl w:ilvl="0" w:tentative="0">
      <w:start w:val="1"/>
      <w:numFmt w:val="bullet"/>
      <w:lvlText w:val=""/>
      <w:lvlJc w:val="left"/>
      <w:pPr>
        <w:ind w:left="420" w:hanging="420"/>
      </w:pPr>
      <w:rPr>
        <w:rFonts w:hint="default" w:ascii="Wingdings" w:hAnsi="Wingdings"/>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11AF10B1"/>
    <w:multiLevelType w:val="multilevel"/>
    <w:tmpl w:val="11AF10B1"/>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134CE75E"/>
    <w:multiLevelType w:val="singleLevel"/>
    <w:tmpl w:val="134CE75E"/>
    <w:lvl w:ilvl="0" w:tentative="0">
      <w:start w:val="1"/>
      <w:numFmt w:val="bullet"/>
      <w:lvlText w:val=""/>
      <w:lvlJc w:val="left"/>
      <w:pPr>
        <w:tabs>
          <w:tab w:val="left" w:pos="0"/>
        </w:tabs>
        <w:ind w:left="420" w:hanging="420"/>
      </w:pPr>
      <w:rPr>
        <w:rFonts w:hint="default" w:ascii="Wingdings" w:hAnsi="Wingdings"/>
      </w:rPr>
    </w:lvl>
  </w:abstractNum>
  <w:abstractNum w:abstractNumId="5">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43F96F35"/>
    <w:multiLevelType w:val="multilevel"/>
    <w:tmpl w:val="43F96F35"/>
    <w:lvl w:ilvl="0" w:tentative="0">
      <w:start w:val="1"/>
      <w:numFmt w:val="bullet"/>
      <w:lvlText w:val="-"/>
      <w:lvlJc w:val="left"/>
      <w:pPr>
        <w:ind w:left="1979" w:hanging="360"/>
      </w:pPr>
      <w:rPr>
        <w:rFonts w:hint="default" w:ascii="Arial" w:hAnsi="Arial" w:eastAsia="宋体" w:cs="Aria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A901F96"/>
    <w:multiLevelType w:val="singleLevel"/>
    <w:tmpl w:val="5A901F96"/>
    <w:lvl w:ilvl="0" w:tentative="0">
      <w:start w:val="1"/>
      <w:numFmt w:val="bullet"/>
      <w:lvlText w:val=""/>
      <w:lvlJc w:val="left"/>
      <w:pPr>
        <w:tabs>
          <w:tab w:val="left" w:pos="2520"/>
        </w:tabs>
        <w:ind w:left="2940" w:hanging="420"/>
      </w:pPr>
      <w:rPr>
        <w:rFonts w:hint="default" w:ascii="Wingdings" w:hAnsi="Wingdings"/>
      </w:rPr>
    </w:lvl>
  </w:abstractNum>
  <w:abstractNum w:abstractNumId="10">
    <w:nsid w:val="62021533"/>
    <w:multiLevelType w:val="singleLevel"/>
    <w:tmpl w:val="62021533"/>
    <w:lvl w:ilvl="0" w:tentative="0">
      <w:start w:val="1"/>
      <w:numFmt w:val="bullet"/>
      <w:lvlText w:val=""/>
      <w:lvlJc w:val="left"/>
      <w:pPr>
        <w:ind w:left="420" w:hanging="420"/>
      </w:pPr>
      <w:rPr>
        <w:rFonts w:hint="default" w:ascii="Wingdings" w:hAnsi="Wingdings"/>
      </w:rPr>
    </w:lvl>
  </w:abstractNum>
  <w:abstractNum w:abstractNumId="11">
    <w:nsid w:val="67A3B95B"/>
    <w:multiLevelType w:val="multilevel"/>
    <w:tmpl w:val="67A3B95B"/>
    <w:lvl w:ilvl="0" w:tentative="0">
      <w:start w:val="1"/>
      <w:numFmt w:val="bullet"/>
      <w:lvlText w:val=""/>
      <w:lvlJc w:val="left"/>
      <w:pPr>
        <w:tabs>
          <w:tab w:val="left" w:pos="2100"/>
        </w:tabs>
        <w:ind w:left="2520" w:hanging="420"/>
      </w:pPr>
      <w:rPr>
        <w:rFonts w:hint="default" w:ascii="Wingdings" w:hAnsi="Wingdings"/>
      </w:rPr>
    </w:lvl>
    <w:lvl w:ilvl="1" w:tentative="0">
      <w:start w:val="1"/>
      <w:numFmt w:val="bullet"/>
      <w:lvlText w:val=""/>
      <w:lvlJc w:val="left"/>
      <w:pPr>
        <w:tabs>
          <w:tab w:val="left" w:pos="840"/>
        </w:tabs>
        <w:ind w:left="2940" w:hanging="420"/>
      </w:pPr>
      <w:rPr>
        <w:rFonts w:hint="default" w:ascii="Wingdings" w:hAnsi="Wingdings"/>
      </w:rPr>
    </w:lvl>
    <w:lvl w:ilvl="2" w:tentative="0">
      <w:start w:val="1"/>
      <w:numFmt w:val="bullet"/>
      <w:lvlText w:val=""/>
      <w:lvlJc w:val="left"/>
      <w:pPr>
        <w:tabs>
          <w:tab w:val="left" w:pos="1260"/>
        </w:tabs>
        <w:ind w:left="3360" w:hanging="420"/>
      </w:pPr>
      <w:rPr>
        <w:rFonts w:hint="default" w:ascii="Wingdings" w:hAnsi="Wingdings"/>
      </w:rPr>
    </w:lvl>
    <w:lvl w:ilvl="3" w:tentative="0">
      <w:start w:val="1"/>
      <w:numFmt w:val="bullet"/>
      <w:lvlText w:val=""/>
      <w:lvlJc w:val="left"/>
      <w:pPr>
        <w:tabs>
          <w:tab w:val="left" w:pos="1680"/>
        </w:tabs>
        <w:ind w:left="3780" w:hanging="420"/>
      </w:pPr>
      <w:rPr>
        <w:rFonts w:hint="default" w:ascii="Wingdings" w:hAnsi="Wingdings"/>
      </w:rPr>
    </w:lvl>
    <w:lvl w:ilvl="4" w:tentative="0">
      <w:start w:val="1"/>
      <w:numFmt w:val="bullet"/>
      <w:lvlText w:val=""/>
      <w:lvlJc w:val="left"/>
      <w:pPr>
        <w:tabs>
          <w:tab w:val="left" w:pos="2100"/>
        </w:tabs>
        <w:ind w:left="4200" w:hanging="420"/>
      </w:pPr>
      <w:rPr>
        <w:rFonts w:hint="default" w:ascii="Wingdings" w:hAnsi="Wingdings"/>
      </w:rPr>
    </w:lvl>
    <w:lvl w:ilvl="5" w:tentative="0">
      <w:start w:val="1"/>
      <w:numFmt w:val="bullet"/>
      <w:lvlText w:val=""/>
      <w:lvlJc w:val="left"/>
      <w:pPr>
        <w:tabs>
          <w:tab w:val="left" w:pos="2520"/>
        </w:tabs>
        <w:ind w:left="4620" w:hanging="420"/>
      </w:pPr>
      <w:rPr>
        <w:rFonts w:hint="default" w:ascii="Wingdings" w:hAnsi="Wingdings"/>
      </w:rPr>
    </w:lvl>
    <w:lvl w:ilvl="6" w:tentative="0">
      <w:start w:val="1"/>
      <w:numFmt w:val="bullet"/>
      <w:lvlText w:val=""/>
      <w:lvlJc w:val="left"/>
      <w:pPr>
        <w:tabs>
          <w:tab w:val="left" w:pos="2940"/>
        </w:tabs>
        <w:ind w:left="5040" w:hanging="420"/>
      </w:pPr>
      <w:rPr>
        <w:rFonts w:hint="default" w:ascii="Wingdings" w:hAnsi="Wingdings"/>
      </w:rPr>
    </w:lvl>
    <w:lvl w:ilvl="7" w:tentative="0">
      <w:start w:val="1"/>
      <w:numFmt w:val="bullet"/>
      <w:lvlText w:val=""/>
      <w:lvlJc w:val="left"/>
      <w:pPr>
        <w:tabs>
          <w:tab w:val="left" w:pos="3360"/>
        </w:tabs>
        <w:ind w:left="5460" w:hanging="420"/>
      </w:pPr>
      <w:rPr>
        <w:rFonts w:hint="default" w:ascii="Wingdings" w:hAnsi="Wingdings"/>
      </w:rPr>
    </w:lvl>
    <w:lvl w:ilvl="8" w:tentative="0">
      <w:start w:val="1"/>
      <w:numFmt w:val="bullet"/>
      <w:lvlText w:val=""/>
      <w:lvlJc w:val="left"/>
      <w:pPr>
        <w:tabs>
          <w:tab w:val="left" w:pos="3780"/>
        </w:tabs>
        <w:ind w:left="5880" w:hanging="420"/>
      </w:pPr>
      <w:rPr>
        <w:rFonts w:hint="default" w:ascii="Wingdings" w:hAnsi="Wingdings"/>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2"/>
  </w:num>
  <w:num w:numId="2">
    <w:abstractNumId w:val="6"/>
  </w:num>
  <w:num w:numId="3">
    <w:abstractNumId w:val="5"/>
  </w:num>
  <w:num w:numId="4">
    <w:abstractNumId w:val="8"/>
  </w:num>
  <w:num w:numId="5">
    <w:abstractNumId w:val="4"/>
  </w:num>
  <w:num w:numId="6">
    <w:abstractNumId w:val="3"/>
  </w:num>
  <w:num w:numId="7">
    <w:abstractNumId w:val="0"/>
  </w:num>
  <w:num w:numId="8">
    <w:abstractNumId w:val="7"/>
  </w:num>
  <w:num w:numId="9">
    <w:abstractNumId w:val="1"/>
  </w:num>
  <w:num w:numId="10">
    <w:abstractNumId w:val="11"/>
  </w:num>
  <w:num w:numId="11">
    <w:abstractNumId w:val="9"/>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30F42DA"/>
    <w:rsid w:val="039B37C7"/>
    <w:rsid w:val="03B64756"/>
    <w:rsid w:val="05581271"/>
    <w:rsid w:val="08320503"/>
    <w:rsid w:val="095F3199"/>
    <w:rsid w:val="11144517"/>
    <w:rsid w:val="13BE2E36"/>
    <w:rsid w:val="13E54515"/>
    <w:rsid w:val="154B4C98"/>
    <w:rsid w:val="17C90DC6"/>
    <w:rsid w:val="1E262080"/>
    <w:rsid w:val="1EA13FCF"/>
    <w:rsid w:val="20A67B9D"/>
    <w:rsid w:val="21B75A90"/>
    <w:rsid w:val="21F229A5"/>
    <w:rsid w:val="22F84732"/>
    <w:rsid w:val="29521D5A"/>
    <w:rsid w:val="296A6325"/>
    <w:rsid w:val="2DCC054E"/>
    <w:rsid w:val="2EFF4953"/>
    <w:rsid w:val="31B53264"/>
    <w:rsid w:val="351D1843"/>
    <w:rsid w:val="3850290E"/>
    <w:rsid w:val="39A706A6"/>
    <w:rsid w:val="3AF811CC"/>
    <w:rsid w:val="3FF257A0"/>
    <w:rsid w:val="41597CC1"/>
    <w:rsid w:val="44ED5522"/>
    <w:rsid w:val="45251780"/>
    <w:rsid w:val="486C7D0F"/>
    <w:rsid w:val="48BC1FC7"/>
    <w:rsid w:val="48BD345D"/>
    <w:rsid w:val="4AAA7A11"/>
    <w:rsid w:val="4CB30463"/>
    <w:rsid w:val="4F01352B"/>
    <w:rsid w:val="50AC3D18"/>
    <w:rsid w:val="521A547C"/>
    <w:rsid w:val="56582839"/>
    <w:rsid w:val="5798278D"/>
    <w:rsid w:val="59A65848"/>
    <w:rsid w:val="5AAC5686"/>
    <w:rsid w:val="5C491F27"/>
    <w:rsid w:val="5CF63611"/>
    <w:rsid w:val="5E176D14"/>
    <w:rsid w:val="606210AF"/>
    <w:rsid w:val="617674D6"/>
    <w:rsid w:val="61DF3A9F"/>
    <w:rsid w:val="676E7F3D"/>
    <w:rsid w:val="67A4673A"/>
    <w:rsid w:val="6C642F64"/>
    <w:rsid w:val="71997D14"/>
    <w:rsid w:val="71A82806"/>
    <w:rsid w:val="73C17630"/>
    <w:rsid w:val="73F67ACD"/>
    <w:rsid w:val="75A5650E"/>
    <w:rsid w:val="77B91A3C"/>
    <w:rsid w:val="77F160D3"/>
    <w:rsid w:val="79670D3F"/>
    <w:rsid w:val="7D796C4C"/>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2025-02-07T08:46:34Z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